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FC2A3">
      <w:pPr>
        <w:widowControl/>
        <w:numPr>
          <w:ilvl w:val="0"/>
          <w:numId w:val="0"/>
        </w:numPr>
        <w:tabs>
          <w:tab w:val="left" w:pos="360"/>
          <w:tab w:val="left" w:pos="900"/>
        </w:tabs>
        <w:snapToGrid w:val="0"/>
        <w:spacing w:line="240" w:lineRule="atLeast"/>
        <w:ind w:leftChars="0"/>
        <w:jc w:val="center"/>
        <w:outlineLvl w:val="1"/>
        <w:rPr>
          <w:color w:val="000000" w:themeColor="text1"/>
          <w:highlight w:val="none"/>
          <w:u w:val="none"/>
          <w:lang w:val="en-US" w:eastAsia="zh-CN"/>
          <w14:textFill>
            <w14:solidFill>
              <w14:schemeClr w14:val="tx1"/>
            </w14:solidFill>
          </w14:textFill>
        </w:rPr>
      </w:pPr>
      <w:r>
        <w:rPr>
          <w:b/>
          <w:color w:val="000000" w:themeColor="text1"/>
          <w:sz w:val="24"/>
          <w:highlight w:val="none"/>
          <w:u w:val="none"/>
          <w14:textFill>
            <w14:solidFill>
              <w14:schemeClr w14:val="tx1"/>
            </w14:solidFill>
          </w14:textFill>
        </w:rPr>
        <w:t>评标标准</w:t>
      </w:r>
    </w:p>
    <w:p w14:paraId="681F4034">
      <w:pPr>
        <w:pStyle w:val="6"/>
        <w:rPr>
          <w:color w:val="000000" w:themeColor="text1"/>
          <w:highlight w:val="none"/>
          <w:u w:val="none"/>
          <w:lang w:val="en-US" w:eastAsia="zh-CN"/>
          <w14:textFill>
            <w14:solidFill>
              <w14:schemeClr w14:val="tx1"/>
            </w14:solidFill>
          </w14:textFill>
        </w:rPr>
      </w:pPr>
    </w:p>
    <w:tbl>
      <w:tblPr>
        <w:tblStyle w:val="8"/>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619"/>
        <w:gridCol w:w="581"/>
        <w:gridCol w:w="1209"/>
      </w:tblGrid>
      <w:tr w14:paraId="1DC2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14:paraId="7A252F9E">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类别</w:t>
            </w:r>
          </w:p>
        </w:tc>
        <w:tc>
          <w:tcPr>
            <w:tcW w:w="3618" w:type="pct"/>
            <w:noWrap w:val="0"/>
            <w:vAlign w:val="center"/>
          </w:tcPr>
          <w:p w14:paraId="27822B61">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评分标准</w:t>
            </w:r>
          </w:p>
        </w:tc>
        <w:tc>
          <w:tcPr>
            <w:tcW w:w="317" w:type="pct"/>
            <w:noWrap w:val="0"/>
            <w:vAlign w:val="center"/>
          </w:tcPr>
          <w:p w14:paraId="2DCC06E1">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分值</w:t>
            </w:r>
          </w:p>
        </w:tc>
        <w:tc>
          <w:tcPr>
            <w:tcW w:w="660" w:type="pct"/>
            <w:noWrap w:val="0"/>
            <w:vAlign w:val="center"/>
          </w:tcPr>
          <w:p w14:paraId="366FCF91">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default" w:ascii="Times New Roman" w:hAnsi="Times New Roman" w:cs="Times New Roman"/>
                <w:b/>
                <w:bCs/>
                <w:color w:val="000000" w:themeColor="text1"/>
                <w:sz w:val="24"/>
                <w:szCs w:val="24"/>
                <w:highlight w:val="none"/>
                <w:u w:val="none"/>
                <w:lang w:val="en-US" w:eastAsia="zh-CN"/>
                <w14:textFill>
                  <w14:solidFill>
                    <w14:schemeClr w14:val="tx1"/>
                  </w14:solidFill>
                </w14:textFill>
              </w:rPr>
              <w:t>是否客观评审项</w:t>
            </w:r>
          </w:p>
        </w:tc>
      </w:tr>
      <w:tr w14:paraId="3DB2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03" w:type="pct"/>
            <w:vMerge w:val="restart"/>
            <w:noWrap w:val="0"/>
            <w:vAlign w:val="center"/>
          </w:tcPr>
          <w:p w14:paraId="1330D75A">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商务部分（</w:t>
            </w:r>
            <w:r>
              <w:rPr>
                <w:rFonts w:hint="eastAsia" w:ascii="宋体" w:hAnsi="宋体" w:cs="宋体"/>
                <w:b/>
                <w:bCs/>
                <w:color w:val="000000" w:themeColor="text1"/>
                <w:kern w:val="0"/>
                <w:sz w:val="22"/>
                <w:szCs w:val="22"/>
                <w:highlight w:val="none"/>
                <w:u w:val="none"/>
                <w:lang w:val="en-US" w:eastAsia="zh-CN"/>
                <w14:textFill>
                  <w14:solidFill>
                    <w14:schemeClr w14:val="tx1"/>
                  </w14:solidFill>
                </w14:textFill>
              </w:rPr>
              <w:t>36</w:t>
            </w:r>
            <w:r>
              <w:rPr>
                <w:rFonts w:hint="eastAsia" w:ascii="宋体" w:hAnsi="宋体" w:eastAsia="宋体" w:cs="宋体"/>
                <w:b/>
                <w:bCs/>
                <w:color w:val="000000" w:themeColor="text1"/>
                <w:kern w:val="0"/>
                <w:sz w:val="22"/>
                <w:szCs w:val="22"/>
                <w:highlight w:val="none"/>
                <w:u w:val="none"/>
                <w14:textFill>
                  <w14:solidFill>
                    <w14:schemeClr w14:val="tx1"/>
                  </w14:solidFill>
                </w14:textFill>
              </w:rPr>
              <w:t>分）</w:t>
            </w:r>
          </w:p>
        </w:tc>
        <w:tc>
          <w:tcPr>
            <w:tcW w:w="3618" w:type="pct"/>
            <w:noWrap w:val="0"/>
            <w:vAlign w:val="center"/>
          </w:tcPr>
          <w:p w14:paraId="475A7498">
            <w:pPr>
              <w:spacing w:line="360" w:lineRule="auto"/>
              <w:rPr>
                <w:rFonts w:hint="default"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一、综合实力</w:t>
            </w:r>
          </w:p>
          <w:p w14:paraId="3B0EBF5E">
            <w:pPr>
              <w:spacing w:line="360" w:lineRule="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投标人具有有效的职业健康安全管理体系认证得</w:t>
            </w:r>
            <w:r>
              <w:rPr>
                <w:rFonts w:hint="eastAsia" w:ascii="宋体" w:hAnsi="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分；有效的质量管理体系认证得</w:t>
            </w:r>
            <w:r>
              <w:rPr>
                <w:rFonts w:hint="eastAsia" w:ascii="宋体" w:hAnsi="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分；有效的环境管理体系认证得</w:t>
            </w:r>
            <w:r>
              <w:rPr>
                <w:rFonts w:hint="eastAsia" w:ascii="宋体" w:hAnsi="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分</w:t>
            </w:r>
            <w:r>
              <w:rPr>
                <w:rFonts w:hint="eastAsia" w:ascii="宋体" w:hAnsi="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本项最多得</w:t>
            </w:r>
            <w:r>
              <w:rPr>
                <w:rFonts w:hint="eastAsia" w:ascii="宋体" w:hAnsi="宋体" w:cs="宋体"/>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u w:val="none"/>
                <w14:textFill>
                  <w14:solidFill>
                    <w14:schemeClr w14:val="tx1"/>
                  </w14:solidFill>
                </w14:textFill>
              </w:rPr>
              <w:t>分，不具备不得分。</w:t>
            </w:r>
          </w:p>
          <w:p w14:paraId="1A40D5C1">
            <w:pPr>
              <w:spacing w:line="360" w:lineRule="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注：需提供在有效期内的证书扫描件及国家认证认可监督委员会网上查询截图，未提供有效截图或不符合上述要求的不得分。</w:t>
            </w:r>
          </w:p>
        </w:tc>
        <w:tc>
          <w:tcPr>
            <w:tcW w:w="317" w:type="pct"/>
            <w:noWrap/>
            <w:vAlign w:val="center"/>
          </w:tcPr>
          <w:p w14:paraId="707E59C3">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00F2679D">
            <w:pPr>
              <w:widowControl/>
              <w:spacing w:line="360" w:lineRule="auto"/>
              <w:jc w:val="center"/>
              <w:rPr>
                <w:rFonts w:hint="default" w:ascii="宋体" w:hAnsi="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是</w:t>
            </w:r>
          </w:p>
        </w:tc>
      </w:tr>
      <w:tr w14:paraId="3553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03" w:type="pct"/>
            <w:vMerge w:val="continue"/>
            <w:noWrap w:val="0"/>
            <w:vAlign w:val="center"/>
          </w:tcPr>
          <w:p w14:paraId="23103982">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46CD3009">
            <w:pPr>
              <w:spacing w:line="360" w:lineRule="auto"/>
              <w:rPr>
                <w:rFonts w:hint="default"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二、类似项目案例</w:t>
            </w:r>
          </w:p>
          <w:p w14:paraId="37A0B8EC">
            <w:pPr>
              <w:spacing w:line="360" w:lineRule="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投标人近三年（202</w:t>
            </w:r>
            <w:r>
              <w:rPr>
                <w:rFonts w:hint="eastAsia" w:ascii="宋体" w:hAnsi="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年</w:t>
            </w:r>
            <w:r>
              <w:rPr>
                <w:rFonts w:hint="eastAsia" w:ascii="宋体" w:hAnsi="宋体" w:cs="宋体"/>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u w:val="none"/>
                <w14:textFill>
                  <w14:solidFill>
                    <w14:schemeClr w14:val="tx1"/>
                  </w14:solidFill>
                </w14:textFill>
              </w:rPr>
              <w:t>月1日至投标文件递交截止时间）完成的公共建筑类</w:t>
            </w:r>
            <w:r>
              <w:rPr>
                <w:rFonts w:hint="eastAsia" w:ascii="宋体" w:hAnsi="宋体" w:cs="宋体"/>
                <w:color w:val="000000" w:themeColor="text1"/>
                <w:sz w:val="22"/>
                <w:szCs w:val="22"/>
                <w:highlight w:val="none"/>
                <w:u w:val="none"/>
                <w:lang w:val="en-US" w:eastAsia="zh-CN"/>
                <w14:textFill>
                  <w14:solidFill>
                    <w14:schemeClr w14:val="tx1"/>
                  </w14:solidFill>
                </w14:textFill>
              </w:rPr>
              <w:t>物业服务类似</w:t>
            </w:r>
            <w:r>
              <w:rPr>
                <w:rFonts w:hint="eastAsia" w:ascii="宋体" w:hAnsi="宋体" w:eastAsia="宋体" w:cs="宋体"/>
                <w:color w:val="000000" w:themeColor="text1"/>
                <w:sz w:val="22"/>
                <w:szCs w:val="22"/>
                <w:highlight w:val="none"/>
                <w:u w:val="none"/>
                <w14:textFill>
                  <w14:solidFill>
                    <w14:schemeClr w14:val="tx1"/>
                  </w14:solidFill>
                </w14:textFill>
              </w:rPr>
              <w:t>业绩，每提供1个业绩得</w:t>
            </w:r>
            <w:r>
              <w:rPr>
                <w:rFonts w:hint="eastAsia" w:ascii="宋体" w:hAnsi="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分。</w:t>
            </w:r>
            <w:r>
              <w:rPr>
                <w:rFonts w:hint="eastAsia" w:ascii="宋体" w:hAnsi="宋体" w:cs="宋体"/>
                <w:color w:val="000000" w:themeColor="text1"/>
                <w:sz w:val="22"/>
                <w:szCs w:val="22"/>
                <w:highlight w:val="none"/>
                <w:u w:val="none"/>
                <w:lang w:val="en-US" w:eastAsia="zh-CN"/>
                <w14:textFill>
                  <w14:solidFill>
                    <w14:schemeClr w14:val="tx1"/>
                  </w14:solidFill>
                </w14:textFill>
              </w:rPr>
              <w:t>本项</w:t>
            </w:r>
            <w:r>
              <w:rPr>
                <w:rFonts w:hint="eastAsia" w:ascii="宋体" w:hAnsi="宋体" w:eastAsia="宋体" w:cs="宋体"/>
                <w:color w:val="000000" w:themeColor="text1"/>
                <w:sz w:val="22"/>
                <w:szCs w:val="22"/>
                <w:highlight w:val="none"/>
                <w:u w:val="none"/>
                <w14:textFill>
                  <w14:solidFill>
                    <w14:schemeClr w14:val="tx1"/>
                  </w14:solidFill>
                </w14:textFill>
              </w:rPr>
              <w:t>最多得</w:t>
            </w:r>
            <w:r>
              <w:rPr>
                <w:rFonts w:hint="eastAsia" w:ascii="宋体" w:hAnsi="宋体" w:cs="宋体"/>
                <w:color w:val="000000" w:themeColor="text1"/>
                <w:sz w:val="22"/>
                <w:szCs w:val="22"/>
                <w:highlight w:val="none"/>
                <w:u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u w:val="none"/>
                <w14:textFill>
                  <w14:solidFill>
                    <w14:schemeClr w14:val="tx1"/>
                  </w14:solidFill>
                </w14:textFill>
              </w:rPr>
              <w:t>分。</w:t>
            </w:r>
          </w:p>
          <w:p w14:paraId="1667199B">
            <w:pPr>
              <w:spacing w:line="360" w:lineRule="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注：</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none"/>
                <w14:textFill>
                  <w14:solidFill>
                    <w14:schemeClr w14:val="tx1"/>
                  </w14:solidFill>
                </w14:textFill>
              </w:rPr>
              <w:t>以上公共建筑类</w:t>
            </w:r>
            <w:r>
              <w:rPr>
                <w:rFonts w:hint="eastAsia" w:ascii="宋体" w:hAnsi="宋体" w:cs="宋体"/>
                <w:color w:val="000000" w:themeColor="text1"/>
                <w:sz w:val="22"/>
                <w:szCs w:val="22"/>
                <w:highlight w:val="none"/>
                <w:u w:val="none"/>
                <w:lang w:val="en-US" w:eastAsia="zh-CN"/>
                <w14:textFill>
                  <w14:solidFill>
                    <w14:schemeClr w14:val="tx1"/>
                  </w14:solidFill>
                </w14:textFill>
              </w:rPr>
              <w:t>物业服务类似</w:t>
            </w:r>
            <w:r>
              <w:rPr>
                <w:rFonts w:hint="eastAsia" w:ascii="宋体" w:hAnsi="宋体" w:eastAsia="宋体" w:cs="宋体"/>
                <w:color w:val="000000" w:themeColor="text1"/>
                <w:sz w:val="22"/>
                <w:szCs w:val="22"/>
                <w:highlight w:val="none"/>
                <w:u w:val="none"/>
                <w14:textFill>
                  <w14:solidFill>
                    <w14:schemeClr w14:val="tx1"/>
                  </w14:solidFill>
                </w14:textFill>
              </w:rPr>
              <w:t>业绩须提供合同关键页（合同首页、签章页以及体现服务内容页）扫描件加盖投标人公章，不符合要求者不得分。</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投标人应对所附证明材料的清晰度负责，如评标委员会不能识别其证明材料，则视为未提供。</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14:textFill>
                  <w14:solidFill>
                    <w14:schemeClr w14:val="tx1"/>
                  </w14:solidFill>
                </w14:textFill>
              </w:rPr>
              <w:t>若提供的合同或业绩证明材料不能明确反映上述内容的，须提供由委托单位出具的能反映上述内容的证明文件并加盖委托单位的公章。</w:t>
            </w:r>
          </w:p>
        </w:tc>
        <w:tc>
          <w:tcPr>
            <w:tcW w:w="317" w:type="pct"/>
            <w:noWrap/>
            <w:vAlign w:val="center"/>
          </w:tcPr>
          <w:p w14:paraId="1CC714E2">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10</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693F8991">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是</w:t>
            </w:r>
          </w:p>
        </w:tc>
      </w:tr>
      <w:tr w14:paraId="02F7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03" w:type="pct"/>
            <w:vMerge w:val="continue"/>
            <w:noWrap w:val="0"/>
            <w:vAlign w:val="center"/>
          </w:tcPr>
          <w:p w14:paraId="36F84AC8">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4A03DD2F">
            <w:pPr>
              <w:spacing w:line="360" w:lineRule="auto"/>
              <w:rPr>
                <w:rFonts w:hint="default"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三、项目服务团队</w:t>
            </w:r>
          </w:p>
          <w:p w14:paraId="60EC046B">
            <w:pPr>
              <w:spacing w:line="360" w:lineRule="auto"/>
              <w:rPr>
                <w:rFonts w:hint="default"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1.项目经理：具备5年以上(含)物业项目负责人的管理经验项目经理证明材料齐全的得</w:t>
            </w: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14:textFill>
                  <w14:solidFill>
                    <w14:schemeClr w14:val="tx1"/>
                  </w14:solidFill>
                </w14:textFill>
              </w:rPr>
              <w:t>分</w:t>
            </w:r>
            <w:r>
              <w:rPr>
                <w:rFonts w:hint="eastAsia" w:ascii="宋体" w:hAnsi="宋体" w:cs="宋体"/>
                <w:color w:val="000000" w:themeColor="text1"/>
                <w:sz w:val="22"/>
                <w:szCs w:val="22"/>
                <w:highlight w:val="none"/>
                <w:u w:val="none"/>
                <w:lang w:eastAsia="zh-CN"/>
                <w14:textFill>
                  <w14:solidFill>
                    <w14:schemeClr w14:val="tx1"/>
                  </w14:solidFill>
                </w14:textFill>
              </w:rPr>
              <w:t>，</w:t>
            </w:r>
            <w:r>
              <w:rPr>
                <w:rFonts w:hint="eastAsia" w:ascii="宋体" w:hAnsi="宋体" w:cs="宋体"/>
                <w:color w:val="000000" w:themeColor="text1"/>
                <w:sz w:val="22"/>
                <w:szCs w:val="22"/>
                <w:highlight w:val="none"/>
                <w:u w:val="none"/>
                <w14:textFill>
                  <w14:solidFill>
                    <w14:schemeClr w14:val="tx1"/>
                  </w14:solidFill>
                </w14:textFill>
              </w:rPr>
              <w:t>具有本科及以上</w:t>
            </w:r>
            <w:bookmarkStart w:id="0" w:name="_GoBack"/>
            <w:bookmarkEnd w:id="0"/>
            <w:r>
              <w:rPr>
                <w:rFonts w:hint="eastAsia" w:ascii="宋体" w:hAnsi="宋体" w:cs="宋体"/>
                <w:color w:val="000000" w:themeColor="text1"/>
                <w:sz w:val="22"/>
                <w:szCs w:val="22"/>
                <w:highlight w:val="none"/>
                <w:u w:val="none"/>
                <w14:textFill>
                  <w14:solidFill>
                    <w14:schemeClr w14:val="tx1"/>
                  </w14:solidFill>
                </w14:textFill>
              </w:rPr>
              <w:t>学历得</w:t>
            </w: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cs="宋体"/>
                <w:color w:val="000000" w:themeColor="text1"/>
                <w:sz w:val="22"/>
                <w:szCs w:val="22"/>
                <w:highlight w:val="none"/>
                <w:u w:val="none"/>
                <w14:textFill>
                  <w14:solidFill>
                    <w14:schemeClr w14:val="tx1"/>
                  </w14:solidFill>
                </w14:textFill>
              </w:rPr>
              <w:t>分</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本项最高得6分。</w:t>
            </w:r>
          </w:p>
          <w:p w14:paraId="1F3D39EA">
            <w:pPr>
              <w:spacing w:line="360" w:lineRule="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2.工程运维人员：</w:t>
            </w:r>
            <w:r>
              <w:rPr>
                <w:rFonts w:hint="eastAsia" w:ascii="宋体" w:hAnsi="宋体" w:cs="宋体"/>
                <w:color w:val="000000" w:themeColor="text1"/>
                <w:sz w:val="22"/>
                <w:szCs w:val="22"/>
                <w:highlight w:val="none"/>
                <w:u w:val="none"/>
                <w:lang w:val="en-US" w:eastAsia="zh-CN"/>
                <w14:textFill>
                  <w14:solidFill>
                    <w14:schemeClr w14:val="tx1"/>
                  </w14:solidFill>
                </w14:textFill>
              </w:rPr>
              <w:t>具有</w:t>
            </w:r>
            <w:r>
              <w:rPr>
                <w:rFonts w:hint="eastAsia" w:ascii="宋体" w:hAnsi="宋体" w:eastAsia="宋体" w:cs="宋体"/>
                <w:color w:val="000000" w:themeColor="text1"/>
                <w:sz w:val="22"/>
                <w:szCs w:val="22"/>
                <w:highlight w:val="none"/>
                <w:u w:val="none"/>
                <w14:textFill>
                  <w14:solidFill>
                    <w14:schemeClr w14:val="tx1"/>
                  </w14:solidFill>
                </w14:textFill>
              </w:rPr>
              <w:t>专科及以上学历得1分</w:t>
            </w:r>
            <w:r>
              <w:rPr>
                <w:rFonts w:hint="eastAsia" w:ascii="宋体" w:hAnsi="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具有</w:t>
            </w:r>
            <w:r>
              <w:rPr>
                <w:rFonts w:hint="eastAsia" w:ascii="宋体" w:hAnsi="宋体" w:cs="宋体"/>
                <w:color w:val="000000" w:themeColor="text1"/>
                <w:sz w:val="22"/>
                <w:szCs w:val="22"/>
                <w:highlight w:val="none"/>
                <w:u w:val="none"/>
                <w:lang w:val="en-US" w:eastAsia="zh-CN"/>
                <w14:textFill>
                  <w14:solidFill>
                    <w14:schemeClr w14:val="tx1"/>
                  </w14:solidFill>
                </w14:textFill>
              </w:rPr>
              <w:t>3年以上（含）相关工作经验</w:t>
            </w:r>
            <w:r>
              <w:rPr>
                <w:rFonts w:hint="eastAsia" w:ascii="宋体" w:hAnsi="宋体" w:eastAsia="宋体" w:cs="宋体"/>
                <w:color w:val="000000" w:themeColor="text1"/>
                <w:sz w:val="22"/>
                <w:szCs w:val="22"/>
                <w:highlight w:val="none"/>
                <w:u w:val="none"/>
                <w14:textFill>
                  <w14:solidFill>
                    <w14:schemeClr w14:val="tx1"/>
                  </w14:solidFill>
                </w14:textFill>
              </w:rPr>
              <w:t>得</w:t>
            </w:r>
            <w:r>
              <w:rPr>
                <w:rFonts w:hint="eastAsia" w:ascii="宋体" w:hAnsi="宋体" w:cs="宋体"/>
                <w:color w:val="000000" w:themeColor="text1"/>
                <w:sz w:val="22"/>
                <w:szCs w:val="22"/>
                <w:highlight w:val="none"/>
                <w:u w:val="none"/>
                <w:lang w:val="en-US" w:eastAsia="zh-CN"/>
                <w14:textFill>
                  <w14:solidFill>
                    <w14:schemeClr w14:val="tx1"/>
                  </w14:solidFill>
                </w14:textFill>
              </w:rPr>
              <w:t>1分，本项</w:t>
            </w:r>
            <w:r>
              <w:rPr>
                <w:rFonts w:hint="eastAsia" w:ascii="宋体" w:hAnsi="宋体" w:eastAsia="宋体" w:cs="宋体"/>
                <w:color w:val="000000" w:themeColor="text1"/>
                <w:sz w:val="22"/>
                <w:szCs w:val="22"/>
                <w:highlight w:val="none"/>
                <w:u w:val="none"/>
                <w14:textFill>
                  <w14:solidFill>
                    <w14:schemeClr w14:val="tx1"/>
                  </w14:solidFill>
                </w14:textFill>
              </w:rPr>
              <w:t>最高得2分。</w:t>
            </w:r>
          </w:p>
          <w:p w14:paraId="5767324A">
            <w:pPr>
              <w:spacing w:line="360" w:lineRule="auto"/>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14:textFill>
                  <w14:solidFill>
                    <w14:schemeClr w14:val="tx1"/>
                  </w14:solidFill>
                </w14:textFill>
              </w:rPr>
              <w:t>会议</w:t>
            </w:r>
            <w:r>
              <w:rPr>
                <w:rFonts w:hint="eastAsia" w:ascii="宋体" w:hAnsi="宋体" w:cs="宋体"/>
                <w:color w:val="000000" w:themeColor="text1"/>
                <w:sz w:val="22"/>
                <w:szCs w:val="22"/>
                <w:highlight w:val="none"/>
                <w:u w:val="none"/>
                <w:lang w:val="en-US" w:eastAsia="zh-CN"/>
                <w14:textFill>
                  <w14:solidFill>
                    <w14:schemeClr w14:val="tx1"/>
                  </w14:solidFill>
                </w14:textFill>
              </w:rPr>
              <w:t>保障人员</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具有</w:t>
            </w:r>
            <w:r>
              <w:rPr>
                <w:rFonts w:hint="eastAsia" w:ascii="宋体" w:hAnsi="宋体" w:eastAsia="宋体" w:cs="宋体"/>
                <w:color w:val="000000" w:themeColor="text1"/>
                <w:sz w:val="22"/>
                <w:szCs w:val="22"/>
                <w:highlight w:val="none"/>
                <w:u w:val="none"/>
                <w14:textFill>
                  <w14:solidFill>
                    <w14:schemeClr w14:val="tx1"/>
                  </w14:solidFill>
                </w14:textFill>
              </w:rPr>
              <w:t>专科及以上学历得1分；具有</w:t>
            </w:r>
            <w:r>
              <w:rPr>
                <w:rFonts w:hint="eastAsia" w:ascii="宋体" w:hAnsi="宋体" w:cs="宋体"/>
                <w:color w:val="000000" w:themeColor="text1"/>
                <w:sz w:val="22"/>
                <w:szCs w:val="22"/>
                <w:highlight w:val="none"/>
                <w:u w:val="none"/>
                <w:lang w:val="en-US" w:eastAsia="zh-CN"/>
                <w14:textFill>
                  <w14:solidFill>
                    <w14:schemeClr w14:val="tx1"/>
                  </w14:solidFill>
                </w14:textFill>
              </w:rPr>
              <w:t>2年以上（含）</w:t>
            </w:r>
            <w:r>
              <w:rPr>
                <w:rFonts w:hint="eastAsia" w:ascii="宋体" w:hAnsi="宋体" w:eastAsia="宋体" w:cs="宋体"/>
                <w:color w:val="000000" w:themeColor="text1"/>
                <w:sz w:val="22"/>
                <w:szCs w:val="22"/>
                <w:highlight w:val="none"/>
                <w:u w:val="none"/>
                <w14:textFill>
                  <w14:solidFill>
                    <w14:schemeClr w14:val="tx1"/>
                  </w14:solidFill>
                </w14:textFill>
              </w:rPr>
              <w:t>会议服务工作经验的得1分。</w:t>
            </w:r>
            <w:r>
              <w:rPr>
                <w:rFonts w:hint="eastAsia" w:ascii="宋体" w:hAnsi="宋体" w:cs="宋体"/>
                <w:color w:val="000000" w:themeColor="text1"/>
                <w:sz w:val="22"/>
                <w:szCs w:val="22"/>
                <w:highlight w:val="none"/>
                <w:u w:val="none"/>
                <w:lang w:val="en-US" w:eastAsia="zh-CN"/>
                <w14:textFill>
                  <w14:solidFill>
                    <w14:schemeClr w14:val="tx1"/>
                  </w14:solidFill>
                </w14:textFill>
              </w:rPr>
              <w:t>本项</w:t>
            </w:r>
            <w:r>
              <w:rPr>
                <w:rFonts w:hint="eastAsia" w:ascii="宋体" w:hAnsi="宋体" w:eastAsia="宋体" w:cs="宋体"/>
                <w:color w:val="000000" w:themeColor="text1"/>
                <w:sz w:val="22"/>
                <w:szCs w:val="22"/>
                <w:highlight w:val="none"/>
                <w:u w:val="none"/>
                <w14:textFill>
                  <w14:solidFill>
                    <w14:schemeClr w14:val="tx1"/>
                  </w14:solidFill>
                </w14:textFill>
              </w:rPr>
              <w:t>最多得</w:t>
            </w:r>
            <w:r>
              <w:rPr>
                <w:rFonts w:hint="eastAsia" w:ascii="宋体" w:hAnsi="宋体" w:cs="宋体"/>
                <w:color w:val="000000" w:themeColor="text1"/>
                <w:sz w:val="22"/>
                <w:szCs w:val="22"/>
                <w:highlight w:val="none"/>
                <w:u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none"/>
                <w14:textFill>
                  <w14:solidFill>
                    <w14:schemeClr w14:val="tx1"/>
                  </w14:solidFill>
                </w14:textFill>
              </w:rPr>
              <w:t>分</w:t>
            </w:r>
            <w:r>
              <w:rPr>
                <w:rFonts w:hint="eastAsia" w:ascii="宋体" w:hAnsi="宋体" w:cs="宋体"/>
                <w:color w:val="000000" w:themeColor="text1"/>
                <w:sz w:val="22"/>
                <w:szCs w:val="22"/>
                <w:highlight w:val="none"/>
                <w:u w:val="none"/>
                <w:lang w:eastAsia="zh-CN"/>
                <w14:textFill>
                  <w14:solidFill>
                    <w14:schemeClr w14:val="tx1"/>
                  </w14:solidFill>
                </w14:textFill>
              </w:rPr>
              <w:t>。</w:t>
            </w:r>
          </w:p>
          <w:p w14:paraId="7700679E">
            <w:pPr>
              <w:spacing w:line="360" w:lineRule="auto"/>
              <w:rPr>
                <w:rFonts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4.中控人员</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具有3年以上（含）相关工作经验的得2分，无工作经验不得分。本项</w:t>
            </w:r>
            <w:r>
              <w:rPr>
                <w:rFonts w:hint="eastAsia" w:ascii="宋体" w:hAnsi="宋体" w:eastAsia="宋体" w:cs="宋体"/>
                <w:color w:val="000000" w:themeColor="text1"/>
                <w:sz w:val="22"/>
                <w:szCs w:val="22"/>
                <w:highlight w:val="none"/>
                <w:u w:val="none"/>
                <w14:textFill>
                  <w14:solidFill>
                    <w14:schemeClr w14:val="tx1"/>
                  </w14:solidFill>
                </w14:textFill>
              </w:rPr>
              <w:t>最多得2分。</w:t>
            </w:r>
          </w:p>
          <w:p w14:paraId="3E7907D9">
            <w:pPr>
              <w:spacing w:line="360" w:lineRule="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u w:val="none"/>
                <w14:textFill>
                  <w14:solidFill>
                    <w14:schemeClr w14:val="tx1"/>
                  </w14:solidFill>
                </w14:textFill>
              </w:rPr>
              <w:t>.安保人员：</w:t>
            </w:r>
            <w:r>
              <w:rPr>
                <w:rFonts w:hint="eastAsia" w:ascii="宋体" w:hAnsi="宋体" w:cs="宋体"/>
                <w:color w:val="000000" w:themeColor="text1"/>
                <w:sz w:val="22"/>
                <w:szCs w:val="22"/>
                <w:highlight w:val="none"/>
                <w:u w:val="none"/>
                <w:lang w:val="en-US" w:eastAsia="zh-CN"/>
                <w14:textFill>
                  <w14:solidFill>
                    <w14:schemeClr w14:val="tx1"/>
                  </w14:solidFill>
                </w14:textFill>
              </w:rPr>
              <w:t>每有1人</w:t>
            </w:r>
            <w:r>
              <w:rPr>
                <w:rFonts w:hint="eastAsia" w:ascii="宋体" w:hAnsi="宋体" w:eastAsia="宋体" w:cs="宋体"/>
                <w:color w:val="000000" w:themeColor="text1"/>
                <w:sz w:val="22"/>
                <w:szCs w:val="22"/>
                <w:highlight w:val="none"/>
                <w:u w:val="none"/>
                <w14:textFill>
                  <w14:solidFill>
                    <w14:schemeClr w14:val="tx1"/>
                  </w14:solidFill>
                </w14:textFill>
              </w:rPr>
              <w:t>具备</w:t>
            </w:r>
            <w:r>
              <w:rPr>
                <w:rFonts w:hint="eastAsia" w:ascii="宋体" w:hAnsi="宋体" w:cs="宋体"/>
                <w:color w:val="000000" w:themeColor="text1"/>
                <w:sz w:val="22"/>
                <w:szCs w:val="22"/>
                <w:highlight w:val="none"/>
                <w:u w:val="none"/>
                <w:lang w:val="en-US" w:eastAsia="zh-CN"/>
                <w14:textFill>
                  <w14:solidFill>
                    <w14:schemeClr w14:val="tx1"/>
                  </w14:solidFill>
                </w14:textFill>
              </w:rPr>
              <w:t>五级及以上</w:t>
            </w:r>
            <w:r>
              <w:rPr>
                <w:rFonts w:hint="eastAsia" w:ascii="宋体" w:hAnsi="宋体" w:eastAsia="宋体" w:cs="宋体"/>
                <w:color w:val="000000" w:themeColor="text1"/>
                <w:sz w:val="22"/>
                <w:szCs w:val="22"/>
                <w:highlight w:val="none"/>
                <w:u w:val="none"/>
                <w14:textFill>
                  <w14:solidFill>
                    <w14:schemeClr w14:val="tx1"/>
                  </w14:solidFill>
                </w14:textFill>
              </w:rPr>
              <w:t>国家职业资格证书得</w:t>
            </w:r>
            <w:r>
              <w:rPr>
                <w:rFonts w:hint="eastAsia" w:ascii="宋体" w:hAnsi="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none"/>
                <w14:textFill>
                  <w14:solidFill>
                    <w14:schemeClr w14:val="tx1"/>
                  </w14:solidFill>
                </w14:textFill>
              </w:rPr>
              <w:t>分；</w:t>
            </w:r>
            <w:r>
              <w:rPr>
                <w:rFonts w:hint="eastAsia" w:ascii="宋体" w:hAnsi="宋体" w:cs="宋体"/>
                <w:color w:val="000000" w:themeColor="text1"/>
                <w:sz w:val="22"/>
                <w:szCs w:val="22"/>
                <w:highlight w:val="none"/>
                <w:u w:val="none"/>
                <w:lang w:val="en-US" w:eastAsia="zh-CN"/>
                <w14:textFill>
                  <w14:solidFill>
                    <w14:schemeClr w14:val="tx1"/>
                  </w14:solidFill>
                </w14:textFill>
              </w:rPr>
              <w:t>每有1人属于</w:t>
            </w:r>
            <w:r>
              <w:rPr>
                <w:rFonts w:hint="eastAsia" w:ascii="宋体" w:hAnsi="宋体" w:eastAsia="宋体" w:cs="宋体"/>
                <w:color w:val="000000" w:themeColor="text1"/>
                <w:sz w:val="22"/>
                <w:szCs w:val="22"/>
                <w:highlight w:val="none"/>
                <w:u w:val="none"/>
                <w14:textFill>
                  <w14:solidFill>
                    <w14:schemeClr w14:val="tx1"/>
                  </w14:solidFill>
                </w14:textFill>
              </w:rPr>
              <w:t>退伍军人得</w:t>
            </w:r>
            <w:r>
              <w:rPr>
                <w:rFonts w:hint="eastAsia" w:ascii="宋体" w:hAnsi="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none"/>
                <w14:textFill>
                  <w14:solidFill>
                    <w14:schemeClr w14:val="tx1"/>
                  </w14:solidFill>
                </w14:textFill>
              </w:rPr>
              <w:t>分（以上2项对每人不重复计分）。</w:t>
            </w:r>
            <w:r>
              <w:rPr>
                <w:rFonts w:hint="eastAsia" w:ascii="宋体" w:hAnsi="宋体" w:cs="宋体"/>
                <w:color w:val="000000" w:themeColor="text1"/>
                <w:sz w:val="22"/>
                <w:szCs w:val="22"/>
                <w:highlight w:val="none"/>
                <w:u w:val="none"/>
                <w:lang w:val="en-US" w:eastAsia="zh-CN"/>
                <w14:textFill>
                  <w14:solidFill>
                    <w14:schemeClr w14:val="tx1"/>
                  </w14:solidFill>
                </w14:textFill>
              </w:rPr>
              <w:t>本项</w:t>
            </w:r>
            <w:r>
              <w:rPr>
                <w:rFonts w:hint="eastAsia" w:ascii="宋体" w:hAnsi="宋体" w:eastAsia="宋体" w:cs="宋体"/>
                <w:color w:val="000000" w:themeColor="text1"/>
                <w:sz w:val="22"/>
                <w:szCs w:val="22"/>
                <w:highlight w:val="none"/>
                <w:u w:val="none"/>
                <w14:textFill>
                  <w14:solidFill>
                    <w14:schemeClr w14:val="tx1"/>
                  </w14:solidFill>
                </w14:textFill>
              </w:rPr>
              <w:t>最多得</w:t>
            </w: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14:textFill>
                  <w14:solidFill>
                    <w14:schemeClr w14:val="tx1"/>
                  </w14:solidFill>
                </w14:textFill>
              </w:rPr>
              <w:t>分。</w:t>
            </w:r>
          </w:p>
          <w:p w14:paraId="583A2DEB">
            <w:pPr>
              <w:spacing w:line="360" w:lineRule="auto"/>
              <w:rPr>
                <w:rFonts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u w:val="none"/>
                <w14:textFill>
                  <w14:solidFill>
                    <w14:schemeClr w14:val="tx1"/>
                  </w14:solidFill>
                </w14:textFill>
              </w:rPr>
              <w:t>.保洁</w:t>
            </w:r>
            <w:r>
              <w:rPr>
                <w:rFonts w:hint="eastAsia" w:ascii="宋体" w:hAnsi="宋体" w:cs="宋体"/>
                <w:color w:val="000000" w:themeColor="text1"/>
                <w:sz w:val="22"/>
                <w:szCs w:val="22"/>
                <w:highlight w:val="none"/>
                <w:u w:val="none"/>
                <w:lang w:val="en-US" w:eastAsia="zh-CN"/>
                <w14:textFill>
                  <w14:solidFill>
                    <w14:schemeClr w14:val="tx1"/>
                  </w14:solidFill>
                </w14:textFill>
              </w:rPr>
              <w:t>负责人</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u w:val="none"/>
                <w14:textFill>
                  <w14:solidFill>
                    <w14:schemeClr w14:val="tx1"/>
                  </w14:solidFill>
                </w14:textFill>
              </w:rPr>
              <w:t>具有专科以上学历得1分，</w:t>
            </w:r>
            <w:r>
              <w:rPr>
                <w:rFonts w:hint="eastAsia" w:ascii="宋体" w:hAnsi="宋体" w:cs="宋体"/>
                <w:color w:val="000000" w:themeColor="text1"/>
                <w:sz w:val="22"/>
                <w:szCs w:val="22"/>
                <w:highlight w:val="none"/>
                <w:u w:val="none"/>
                <w:lang w:val="en-US" w:eastAsia="zh-CN"/>
                <w14:textFill>
                  <w14:solidFill>
                    <w14:schemeClr w14:val="tx1"/>
                  </w14:solidFill>
                </w14:textFill>
              </w:rPr>
              <w:t>具有3年以上（含）相关工作经验的得</w:t>
            </w:r>
            <w:r>
              <w:rPr>
                <w:rFonts w:hint="eastAsia" w:ascii="宋体" w:hAnsi="宋体" w:cs="宋体"/>
                <w:color w:val="000000" w:themeColor="text1"/>
                <w:sz w:val="22"/>
                <w:szCs w:val="22"/>
                <w:highlight w:val="none"/>
                <w:u w:val="none"/>
                <w14:textFill>
                  <w14:solidFill>
                    <w14:schemeClr w14:val="tx1"/>
                  </w14:solidFill>
                </w14:textFill>
              </w:rPr>
              <w:t>2分。本项最多得3分</w:t>
            </w:r>
            <w:r>
              <w:rPr>
                <w:rFonts w:hint="eastAsia" w:ascii="宋体" w:hAnsi="宋体" w:cs="宋体"/>
                <w:color w:val="000000" w:themeColor="text1"/>
                <w:sz w:val="22"/>
                <w:szCs w:val="22"/>
                <w:highlight w:val="none"/>
                <w:u w:val="none"/>
                <w:lang w:eastAsia="zh-CN"/>
                <w14:textFill>
                  <w14:solidFill>
                    <w14:schemeClr w14:val="tx1"/>
                  </w14:solidFill>
                </w14:textFill>
              </w:rPr>
              <w:t>。</w:t>
            </w:r>
          </w:p>
          <w:p w14:paraId="5618BA02">
            <w:pPr>
              <w:pStyle w:val="6"/>
              <w:ind w:firstLine="0" w:firstLineChars="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注：</w:t>
            </w:r>
          </w:p>
          <w:p w14:paraId="72B6070E">
            <w:pPr>
              <w:spacing w:line="360" w:lineRule="auto"/>
              <w:rPr>
                <w:rFonts w:hint="eastAsia" w:asciiTheme="majorEastAsia" w:hAnsiTheme="majorEastAsia" w:eastAsiaTheme="majorEastAsia" w:cstheme="majorEastAsia"/>
                <w:color w:val="000000" w:themeColor="text1"/>
                <w:sz w:val="22"/>
                <w:szCs w:val="28"/>
                <w:highlight w:val="none"/>
                <w:u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14:textFill>
                  <w14:solidFill>
                    <w14:schemeClr w14:val="tx1"/>
                  </w14:solidFill>
                </w14:textFill>
              </w:rPr>
              <w:t>1.职称、证书、学历</w:t>
            </w: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等</w:t>
            </w:r>
            <w:r>
              <w:rPr>
                <w:rFonts w:hint="eastAsia" w:asciiTheme="majorEastAsia" w:hAnsiTheme="majorEastAsia" w:eastAsiaTheme="majorEastAsia" w:cstheme="majorEastAsia"/>
                <w:color w:val="000000" w:themeColor="text1"/>
                <w:sz w:val="22"/>
                <w:szCs w:val="28"/>
                <w:highlight w:val="none"/>
                <w:u w:val="none"/>
                <w14:textFill>
                  <w14:solidFill>
                    <w14:schemeClr w14:val="tx1"/>
                  </w14:solidFill>
                </w14:textFill>
              </w:rPr>
              <w:t>提供相关证明文件扫描件；</w:t>
            </w:r>
          </w:p>
          <w:p w14:paraId="25B71B48">
            <w:pPr>
              <w:spacing w:line="360" w:lineRule="auto"/>
              <w:rPr>
                <w:rFonts w:hint="eastAsia" w:asciiTheme="majorEastAsia" w:hAnsiTheme="majorEastAsia" w:eastAsiaTheme="majorEastAsia" w:cstheme="majorEastAsia"/>
                <w:color w:val="000000" w:themeColor="text1"/>
                <w:sz w:val="22"/>
                <w:szCs w:val="28"/>
                <w:highlight w:val="none"/>
                <w:u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14:textFill>
                  <w14:solidFill>
                    <w14:schemeClr w14:val="tx1"/>
                  </w14:solidFill>
                </w14:textFill>
              </w:rPr>
              <w:t>2.工作经验年限证明文件提供投标人承诺书（盖章），承诺相关人员工作年限；</w:t>
            </w:r>
          </w:p>
          <w:p w14:paraId="4BD22CFF">
            <w:pPr>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3.退役军人证明文件需提供退伍证扫描件或复印件的扫描件；</w:t>
            </w:r>
          </w:p>
          <w:p w14:paraId="567330A7">
            <w:pPr>
              <w:spacing w:line="360" w:lineRule="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14:textFill>
                  <w14:solidFill>
                    <w14:schemeClr w14:val="tx1"/>
                  </w14:solidFill>
                </w14:textFill>
              </w:rPr>
              <w:t>3.上述材料无法体现项目服务期限或姓名时，还应提供盖有业主公章的证明材料。</w:t>
            </w:r>
          </w:p>
        </w:tc>
        <w:tc>
          <w:tcPr>
            <w:tcW w:w="317" w:type="pct"/>
            <w:noWrap/>
            <w:vAlign w:val="center"/>
          </w:tcPr>
          <w:p w14:paraId="4CDCF7C1">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20</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51AE43AE">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是</w:t>
            </w:r>
          </w:p>
        </w:tc>
      </w:tr>
      <w:tr w14:paraId="396B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3" w:type="pct"/>
            <w:vMerge w:val="restart"/>
            <w:noWrap w:val="0"/>
            <w:vAlign w:val="center"/>
          </w:tcPr>
          <w:p w14:paraId="2532802F">
            <w:pPr>
              <w:widowControl/>
              <w:spacing w:line="360" w:lineRule="auto"/>
              <w:rPr>
                <w:rFonts w:hint="eastAsia" w:ascii="宋体" w:hAnsi="宋体" w:eastAsia="宋体" w:cs="宋体"/>
                <w:b/>
                <w:bCs/>
                <w:color w:val="000000" w:themeColor="text1"/>
                <w:kern w:val="0"/>
                <w:sz w:val="22"/>
                <w:szCs w:val="22"/>
                <w:highlight w:val="none"/>
                <w:u w:val="none"/>
                <w14:textFill>
                  <w14:solidFill>
                    <w14:schemeClr w14:val="tx1"/>
                  </w14:solidFill>
                </w14:textFill>
              </w:rPr>
            </w:pPr>
          </w:p>
          <w:p w14:paraId="5282BBDF">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p w14:paraId="48A821BF">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技术部分</w:t>
            </w:r>
          </w:p>
          <w:p w14:paraId="1CBB21FC">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w:t>
            </w:r>
            <w:r>
              <w:rPr>
                <w:rFonts w:hint="eastAsia" w:ascii="宋体" w:hAnsi="宋体" w:cs="宋体"/>
                <w:b/>
                <w:bCs/>
                <w:color w:val="000000" w:themeColor="text1"/>
                <w:kern w:val="0"/>
                <w:sz w:val="22"/>
                <w:szCs w:val="22"/>
                <w:highlight w:val="none"/>
                <w:u w:val="none"/>
                <w:lang w:val="en-US" w:eastAsia="zh-CN"/>
                <w14:textFill>
                  <w14:solidFill>
                    <w14:schemeClr w14:val="tx1"/>
                  </w14:solidFill>
                </w14:textFill>
              </w:rPr>
              <w:t>49</w:t>
            </w:r>
            <w:r>
              <w:rPr>
                <w:rFonts w:hint="eastAsia" w:ascii="宋体" w:hAnsi="宋体" w:eastAsia="宋体" w:cs="宋体"/>
                <w:b/>
                <w:bCs/>
                <w:color w:val="000000" w:themeColor="text1"/>
                <w:kern w:val="0"/>
                <w:sz w:val="22"/>
                <w:szCs w:val="22"/>
                <w:highlight w:val="none"/>
                <w:u w:val="none"/>
                <w14:textFill>
                  <w14:solidFill>
                    <w14:schemeClr w14:val="tx1"/>
                  </w14:solidFill>
                </w14:textFill>
              </w:rPr>
              <w:t>分）</w:t>
            </w:r>
          </w:p>
        </w:tc>
        <w:tc>
          <w:tcPr>
            <w:tcW w:w="3618" w:type="pct"/>
            <w:noWrap w:val="0"/>
            <w:vAlign w:val="center"/>
          </w:tcPr>
          <w:p w14:paraId="064CF8A7">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一、专业化管理方案</w:t>
            </w:r>
          </w:p>
          <w:p w14:paraId="73EE2D2C">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针对本项目特点的专业化管理方案评价</w:t>
            </w:r>
          </w:p>
          <w:p w14:paraId="388A8E05">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至少包含针对本项目的设施设备管理与维护、环境卫生管理、公共秩序维护、绿化租摆服务、会议服务、房屋维修服务、场地标准化管理等7个方案。</w:t>
            </w:r>
          </w:p>
          <w:p w14:paraId="60524C15">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方案满足招标文件要求，无瑕疵：5分；</w:t>
            </w:r>
          </w:p>
          <w:p w14:paraId="27B5A9C1">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方案内容存在1处瑕疵：3分；</w:t>
            </w:r>
          </w:p>
          <w:p w14:paraId="198CB00E">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方案内容存在2处瑕疵：1分；</w:t>
            </w:r>
          </w:p>
          <w:p w14:paraId="1F699260">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未提供方案或不满足招标文件要求或内容存在3处及以上瑕疵：0分；</w:t>
            </w:r>
          </w:p>
          <w:p w14:paraId="415ECA88">
            <w:pPr>
              <w:pStyle w:val="2"/>
              <w:spacing w:line="360" w:lineRule="auto"/>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每个方案最多得5分，本项最多得35分。</w:t>
            </w:r>
          </w:p>
          <w:p w14:paraId="6DA4D679">
            <w:pPr>
              <w:pStyle w:val="2"/>
              <w:spacing w:line="360" w:lineRule="auto"/>
              <w:rPr>
                <w:rFonts w:hint="eastAsia" w:ascii="宋体" w:hAnsi="宋体" w:eastAsia="宋体" w:cs="宋体"/>
                <w:color w:val="000000" w:themeColor="text1"/>
                <w:highlight w:val="none"/>
                <w:u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8"/>
                <w:highlight w:val="none"/>
                <w:u w:val="none"/>
                <w:lang w:val="en-US" w:eastAsia="zh-CN"/>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下同）</w:t>
            </w:r>
          </w:p>
        </w:tc>
        <w:tc>
          <w:tcPr>
            <w:tcW w:w="317" w:type="pct"/>
            <w:noWrap/>
            <w:vAlign w:val="center"/>
          </w:tcPr>
          <w:p w14:paraId="02B5B6C7">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35</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3AABEF9A">
            <w:pPr>
              <w:widowControl/>
              <w:spacing w:line="360" w:lineRule="auto"/>
              <w:jc w:val="cente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否</w:t>
            </w:r>
          </w:p>
        </w:tc>
      </w:tr>
      <w:tr w14:paraId="64A7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403" w:type="pct"/>
            <w:vMerge w:val="continue"/>
            <w:noWrap w:val="0"/>
            <w:vAlign w:val="center"/>
          </w:tcPr>
          <w:p w14:paraId="28502CED">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127C52BC">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二、培训方案</w:t>
            </w:r>
          </w:p>
          <w:p w14:paraId="1D208478">
            <w:pPr>
              <w:widowControl/>
              <w:spacing w:line="360" w:lineRule="auto"/>
              <w:rPr>
                <w:rFonts w:hint="eastAsia" w:ascii="宋体" w:hAnsi="宋体" w:eastAsia="宋体" w:cs="宋体"/>
                <w:color w:val="000000" w:themeColor="text1"/>
                <w:kern w:val="0"/>
                <w:sz w:val="22"/>
                <w:szCs w:val="22"/>
                <w:highlight w:val="none"/>
                <w:u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投标人按照服务能力提升、岗位技能、消防安全等需求制定培训方案，包括培训对象、培训目标、培训内容、培训方式、培训流程等内容。</w:t>
            </w:r>
          </w:p>
          <w:p w14:paraId="33949024">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提供的方案内容完善、具备详实的分析理解，符合采购需求，提供的重点难点问题及解决方案符合招标服务项目实际和需求的得</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分</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55B1FB0D">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存在1处瑕疵点的得</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分</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1D2A0F15">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存在2处瑕疵点的得</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分</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34902453">
            <w:pPr>
              <w:widowControl/>
              <w:spacing w:line="360" w:lineRule="auto"/>
              <w:rPr>
                <w:rFonts w:hint="eastAsia" w:ascii="宋体" w:hAnsi="宋体" w:eastAsia="宋体" w:cs="宋体"/>
                <w:color w:val="000000" w:themeColor="text1"/>
                <w:kern w:val="0"/>
                <w:sz w:val="22"/>
                <w:szCs w:val="22"/>
                <w:highlight w:val="none"/>
                <w:u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未提供方案或不满足招标文件要求或内容存在3处及以上瑕疵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0分。</w:t>
            </w:r>
          </w:p>
        </w:tc>
        <w:tc>
          <w:tcPr>
            <w:tcW w:w="317" w:type="pct"/>
            <w:noWrap/>
            <w:vAlign w:val="center"/>
          </w:tcPr>
          <w:p w14:paraId="7DEF62BA">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61EDAB7F">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否</w:t>
            </w:r>
          </w:p>
        </w:tc>
      </w:tr>
      <w:tr w14:paraId="4070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03" w:type="pct"/>
            <w:vMerge w:val="continue"/>
            <w:noWrap w:val="0"/>
            <w:vAlign w:val="center"/>
          </w:tcPr>
          <w:p w14:paraId="3C8C146F">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0EAB2F8E">
            <w:pPr>
              <w:spacing w:line="360" w:lineRule="auto"/>
              <w:rPr>
                <w:rFonts w:hint="default"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三、</w:t>
            </w: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应急预案及</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保障</w:t>
            </w: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措施</w:t>
            </w:r>
          </w:p>
          <w:p w14:paraId="136BE06C">
            <w:pPr>
              <w:spacing w:line="360" w:lineRule="auto"/>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应急预案包含不仅限于紧急疏散、消防应急、突发事件、出现不可预知紧急情况时（例如停水停电、极端天气、群体事件、自然灾害等），如何保证服务正常运转的措施，临时增配人员设备、现有人员岗位职责临时增加、与相关政府部门协调配合等措施。</w:t>
            </w:r>
          </w:p>
          <w:p w14:paraId="155B2E72">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提供的方案内容完善、具备详实的分析理解，符合采购需求，提供的重点难点问题及解决方案符合招标服务项目实际和需求的得</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分</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3B1E1134">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存在1处瑕疵点的得</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分</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58FCE735">
            <w:pPr>
              <w:widowControl/>
              <w:spacing w:line="360" w:lineRule="auto"/>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存在2处瑕疵点的得</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分</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7152FE95">
            <w:pPr>
              <w:widowControl/>
              <w:spacing w:line="360" w:lineRule="auto"/>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未提供方案或不满足招标文件要求或内容存在3处及以上瑕疵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0分。</w:t>
            </w:r>
          </w:p>
        </w:tc>
        <w:tc>
          <w:tcPr>
            <w:tcW w:w="317" w:type="pct"/>
            <w:noWrap/>
            <w:vAlign w:val="center"/>
          </w:tcPr>
          <w:p w14:paraId="4AD367F3">
            <w:pPr>
              <w:widowControl/>
              <w:spacing w:line="360" w:lineRule="auto"/>
              <w:jc w:val="center"/>
              <w:rPr>
                <w:rFonts w:hint="default" w:ascii="宋体" w:hAnsi="宋体" w:eastAsia="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4分</w:t>
            </w:r>
          </w:p>
        </w:tc>
        <w:tc>
          <w:tcPr>
            <w:tcW w:w="660" w:type="pct"/>
            <w:noWrap/>
            <w:vAlign w:val="center"/>
          </w:tcPr>
          <w:p w14:paraId="18130E1B">
            <w:pPr>
              <w:widowControl/>
              <w:spacing w:line="360" w:lineRule="auto"/>
              <w:jc w:val="center"/>
              <w:rPr>
                <w:rFonts w:hint="eastAsia" w:ascii="宋体" w:hAnsi="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否</w:t>
            </w:r>
          </w:p>
        </w:tc>
      </w:tr>
      <w:tr w14:paraId="1545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03" w:type="pct"/>
            <w:vMerge w:val="continue"/>
            <w:noWrap w:val="0"/>
            <w:vAlign w:val="center"/>
          </w:tcPr>
          <w:p w14:paraId="3FB5120F">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41240461">
            <w:pPr>
              <w:spacing w:line="360" w:lineRule="auto"/>
              <w:rPr>
                <w:rFonts w:hint="default"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四、人员保密管理措施</w:t>
            </w:r>
          </w:p>
          <w:p w14:paraId="5E581EC8">
            <w:pPr>
              <w:spacing w:line="360" w:lineRule="auto"/>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保密方案包括服务过程中有可能获取的保密信息不泄露的措施：制定保密制度、服务人员保密培训、重点岗位双人服务、泄密惩罚办法。</w:t>
            </w:r>
          </w:p>
          <w:p w14:paraId="2D0DEC88">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满足招标文件要求，无瑕疵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得2</w:t>
            </w: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分；</w:t>
            </w:r>
          </w:p>
          <w:p w14:paraId="049DC6EA">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方案内容存在1处瑕疵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得1</w:t>
            </w: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分；</w:t>
            </w:r>
          </w:p>
          <w:p w14:paraId="3E04EF1D">
            <w:pPr>
              <w:spacing w:line="360" w:lineRule="auto"/>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未提供方案或不满足招标文件要求或内容存在</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2</w:t>
            </w: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处及以上瑕疵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的得0分。</w:t>
            </w:r>
          </w:p>
        </w:tc>
        <w:tc>
          <w:tcPr>
            <w:tcW w:w="317" w:type="pct"/>
            <w:noWrap/>
            <w:vAlign w:val="center"/>
          </w:tcPr>
          <w:p w14:paraId="10908FEB">
            <w:pPr>
              <w:widowControl/>
              <w:spacing w:line="360" w:lineRule="auto"/>
              <w:jc w:val="left"/>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2分</w:t>
            </w:r>
          </w:p>
        </w:tc>
        <w:tc>
          <w:tcPr>
            <w:tcW w:w="660" w:type="pct"/>
            <w:noWrap/>
            <w:vAlign w:val="center"/>
          </w:tcPr>
          <w:p w14:paraId="60A08DF3">
            <w:pPr>
              <w:widowControl/>
              <w:spacing w:line="360" w:lineRule="auto"/>
              <w:jc w:val="center"/>
              <w:rPr>
                <w:rFonts w:hint="eastAsia" w:ascii="宋体" w:hAnsi="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否</w:t>
            </w:r>
          </w:p>
        </w:tc>
      </w:tr>
      <w:tr w14:paraId="021E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03" w:type="pct"/>
            <w:vMerge w:val="continue"/>
            <w:noWrap w:val="0"/>
            <w:vAlign w:val="center"/>
          </w:tcPr>
          <w:p w14:paraId="0EC456E1">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54F58EE9">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五、</w:t>
            </w:r>
            <w:r>
              <w:rPr>
                <w:rFonts w:hint="eastAsia" w:ascii="宋体" w:hAnsi="宋体" w:cs="宋体"/>
                <w:color w:val="000000" w:themeColor="text1"/>
                <w:sz w:val="22"/>
                <w:szCs w:val="22"/>
                <w:highlight w:val="none"/>
                <w:u w:val="none"/>
                <w:lang w:val="en-US" w:eastAsia="zh-CN"/>
                <w14:textFill>
                  <w14:solidFill>
                    <w14:schemeClr w14:val="tx1"/>
                  </w14:solidFill>
                </w14:textFill>
              </w:rPr>
              <w:t>人员稳定性管理措施</w:t>
            </w:r>
          </w:p>
          <w:p w14:paraId="5E61E965">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至少包含根据招标文件要求制定严格的人员管理制度、服务期内保证人员更换率不得超过招标文件要求的措施，保证更换人员不得低于采购需求，且应经采购人同意的措施</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311E71B9">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满足招标文件要求，无瑕疵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得2</w:t>
            </w: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分；</w:t>
            </w:r>
          </w:p>
          <w:p w14:paraId="65202E0B">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方案内容存在1处瑕疵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得1</w:t>
            </w: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分；</w:t>
            </w:r>
          </w:p>
          <w:p w14:paraId="2F68E761">
            <w:pPr>
              <w:spacing w:line="360" w:lineRule="auto"/>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未提供方案或不满足招标文件要求或内容存在</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2</w:t>
            </w:r>
            <w:r>
              <w:rPr>
                <w:rFonts w:hint="default" w:ascii="宋体" w:hAnsi="宋体" w:cs="宋体"/>
                <w:color w:val="000000" w:themeColor="text1"/>
                <w:kern w:val="0"/>
                <w:sz w:val="22"/>
                <w:szCs w:val="22"/>
                <w:highlight w:val="none"/>
                <w:u w:val="none"/>
                <w:lang w:val="en-US" w:eastAsia="zh-CN" w:bidi="ar"/>
                <w14:textFill>
                  <w14:solidFill>
                    <w14:schemeClr w14:val="tx1"/>
                  </w14:solidFill>
                </w14:textFill>
              </w:rPr>
              <w:t>处及以上瑕疵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的得0分。</w:t>
            </w:r>
          </w:p>
        </w:tc>
        <w:tc>
          <w:tcPr>
            <w:tcW w:w="317" w:type="pct"/>
            <w:noWrap/>
            <w:vAlign w:val="center"/>
          </w:tcPr>
          <w:p w14:paraId="48AACD99">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22BCD8AE">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否</w:t>
            </w:r>
          </w:p>
        </w:tc>
      </w:tr>
      <w:tr w14:paraId="715B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403" w:type="pct"/>
            <w:vMerge w:val="continue"/>
            <w:noWrap w:val="0"/>
            <w:vAlign w:val="center"/>
          </w:tcPr>
          <w:p w14:paraId="62F9C6D0">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p>
        </w:tc>
        <w:tc>
          <w:tcPr>
            <w:tcW w:w="3618" w:type="pct"/>
            <w:noWrap w:val="0"/>
            <w:vAlign w:val="center"/>
          </w:tcPr>
          <w:p w14:paraId="56019541">
            <w:pPr>
              <w:spacing w:line="360" w:lineRule="auto"/>
              <w:rPr>
                <w:rFonts w:hint="default"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六、节日服务方案</w:t>
            </w:r>
          </w:p>
          <w:p w14:paraId="56B09C4A">
            <w:pPr>
              <w:spacing w:line="360" w:lineRule="auto"/>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至少包含根据不同节日制定方案，提供和满足节日布置服务</w:t>
            </w:r>
            <w:r>
              <w:rPr>
                <w:rFonts w:hint="eastAsia" w:ascii="宋体" w:hAnsi="宋体" w:eastAsia="宋体" w:cs="宋体"/>
                <w:color w:val="000000" w:themeColor="text1"/>
                <w:kern w:val="0"/>
                <w:sz w:val="22"/>
                <w:szCs w:val="22"/>
                <w:highlight w:val="none"/>
                <w:u w:val="none"/>
                <w:lang w:val="en-US" w:eastAsia="zh-CN" w:bidi="ar"/>
                <w14:textFill>
                  <w14:solidFill>
                    <w14:schemeClr w14:val="tx1"/>
                  </w14:solidFill>
                </w14:textFill>
              </w:rPr>
              <w:t>的措施</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w:t>
            </w:r>
          </w:p>
          <w:p w14:paraId="71B0D3F6">
            <w:pPr>
              <w:spacing w:line="360" w:lineRule="auto"/>
              <w:rPr>
                <w:rFonts w:hint="eastAsia" w:ascii="宋体" w:hAnsi="宋体" w:eastAsia="宋体" w:cs="宋体"/>
                <w:color w:val="000000" w:themeColor="text1"/>
                <w:kern w:val="0"/>
                <w:sz w:val="22"/>
                <w:szCs w:val="22"/>
                <w:highlight w:val="none"/>
                <w:u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满足招标文件要求，无瑕疵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得2</w:t>
            </w: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分；</w:t>
            </w:r>
          </w:p>
          <w:p w14:paraId="4166B812">
            <w:pPr>
              <w:spacing w:line="360" w:lineRule="auto"/>
              <w:rPr>
                <w:rFonts w:hint="eastAsia" w:ascii="宋体" w:hAnsi="宋体" w:eastAsia="宋体" w:cs="宋体"/>
                <w:color w:val="000000" w:themeColor="text1"/>
                <w:kern w:val="0"/>
                <w:sz w:val="22"/>
                <w:szCs w:val="22"/>
                <w:highlight w:val="none"/>
                <w:u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方案内容存在1处瑕疵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得1</w:t>
            </w: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分；</w:t>
            </w:r>
          </w:p>
          <w:p w14:paraId="7471EC2B">
            <w:pPr>
              <w:spacing w:line="360" w:lineRule="auto"/>
              <w:rPr>
                <w:rFonts w:hint="default" w:ascii="宋体" w:hAnsi="宋体" w:eastAsia="宋体" w:cs="宋体"/>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未提供方案或不满足招标文件要求或内容存在</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处及以上瑕疵</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的得0分。</w:t>
            </w:r>
          </w:p>
        </w:tc>
        <w:tc>
          <w:tcPr>
            <w:tcW w:w="317" w:type="pct"/>
            <w:noWrap/>
            <w:vAlign w:val="center"/>
          </w:tcPr>
          <w:p w14:paraId="010843D2">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u w:val="none"/>
                <w14:textFill>
                  <w14:solidFill>
                    <w14:schemeClr w14:val="tx1"/>
                  </w14:solidFill>
                </w14:textFill>
              </w:rPr>
              <w:t>分</w:t>
            </w:r>
          </w:p>
        </w:tc>
        <w:tc>
          <w:tcPr>
            <w:tcW w:w="660" w:type="pct"/>
            <w:noWrap/>
            <w:vAlign w:val="center"/>
          </w:tcPr>
          <w:p w14:paraId="4C5514A9">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否</w:t>
            </w:r>
          </w:p>
        </w:tc>
      </w:tr>
      <w:tr w14:paraId="6D27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403" w:type="pct"/>
            <w:noWrap w:val="0"/>
            <w:vAlign w:val="center"/>
          </w:tcPr>
          <w:p w14:paraId="209C6E8C">
            <w:pPr>
              <w:widowControl/>
              <w:spacing w:line="360" w:lineRule="auto"/>
              <w:jc w:val="center"/>
              <w:rPr>
                <w:rFonts w:hint="eastAsia" w:ascii="宋体" w:hAnsi="宋体" w:eastAsia="宋体" w:cs="宋体"/>
                <w:b/>
                <w:bCs/>
                <w:color w:val="000000" w:themeColor="text1"/>
                <w:kern w:val="0"/>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报价部分（15分）</w:t>
            </w:r>
          </w:p>
        </w:tc>
        <w:tc>
          <w:tcPr>
            <w:tcW w:w="3618" w:type="pct"/>
            <w:noWrap w:val="0"/>
            <w:vAlign w:val="center"/>
          </w:tcPr>
          <w:p w14:paraId="0942A25F">
            <w:pPr>
              <w:widowControl/>
              <w:spacing w:line="360" w:lineRule="auto"/>
              <w:jc w:val="left"/>
              <w:textAlignment w:val="center"/>
              <w:rPr>
                <w:rFonts w:hint="eastAsia" w:ascii="宋体" w:hAnsi="宋体" w:eastAsia="宋体" w:cs="宋体"/>
                <w:color w:val="000000" w:themeColor="text1"/>
                <w:kern w:val="0"/>
                <w:sz w:val="22"/>
                <w:szCs w:val="22"/>
                <w:highlight w:val="none"/>
                <w:u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价格分采用低价优先法计算，即满足招标文件要求且投标价格最低的投标报价为评标基准价，其价格分为满分。其他投标人的投标报价分统一按照下列公式计算：投标报价得分=(评标基准价／投标报价)×15的评分方法计算。</w:t>
            </w:r>
          </w:p>
          <w:p w14:paraId="1D820B4E">
            <w:pPr>
              <w:widowControl/>
              <w:spacing w:line="360" w:lineRule="auto"/>
              <w:jc w:val="left"/>
              <w:textAlignment w:val="center"/>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注：此处投标报价指经过报价修正，及因落实政府采购政策进行价格调整后的报价，详见第四章《评标程序、评标方法和评标标准》2.4及2.5。</w:t>
            </w:r>
          </w:p>
        </w:tc>
        <w:tc>
          <w:tcPr>
            <w:tcW w:w="317" w:type="pct"/>
            <w:noWrap/>
            <w:vAlign w:val="center"/>
          </w:tcPr>
          <w:p w14:paraId="4B1103D4">
            <w:pPr>
              <w:widowControl/>
              <w:spacing w:line="360" w:lineRule="auto"/>
              <w:jc w:val="center"/>
              <w:rPr>
                <w:rFonts w:hint="eastAsia" w:ascii="宋体" w:hAnsi="宋体" w:eastAsia="宋体" w:cs="宋体"/>
                <w:color w:val="000000" w:themeColor="text1"/>
                <w:kern w:val="0"/>
                <w:sz w:val="22"/>
                <w:szCs w:val="22"/>
                <w:highlight w:val="none"/>
                <w:u w:val="none"/>
                <w14:textFill>
                  <w14:solidFill>
                    <w14:schemeClr w14:val="tx1"/>
                  </w14:solidFill>
                </w14:textFill>
              </w:rPr>
            </w:pPr>
            <w:r>
              <w:rPr>
                <w:rFonts w:hint="eastAsia" w:ascii="宋体" w:hAnsi="宋体" w:eastAsia="宋体" w:cs="宋体"/>
                <w:color w:val="000000" w:themeColor="text1"/>
                <w:kern w:val="0"/>
                <w:sz w:val="22"/>
                <w:szCs w:val="22"/>
                <w:highlight w:val="none"/>
                <w:u w:val="none"/>
                <w14:textFill>
                  <w14:solidFill>
                    <w14:schemeClr w14:val="tx1"/>
                  </w14:solidFill>
                </w14:textFill>
              </w:rPr>
              <w:t>15分</w:t>
            </w:r>
          </w:p>
        </w:tc>
        <w:tc>
          <w:tcPr>
            <w:tcW w:w="660" w:type="pct"/>
            <w:noWrap/>
            <w:vAlign w:val="center"/>
          </w:tcPr>
          <w:p w14:paraId="70D3FDB3">
            <w:pPr>
              <w:widowControl/>
              <w:spacing w:line="360" w:lineRule="auto"/>
              <w:jc w:val="cente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u w:val="none"/>
                <w:lang w:val="en-US" w:eastAsia="zh-CN"/>
                <w14:textFill>
                  <w14:solidFill>
                    <w14:schemeClr w14:val="tx1"/>
                  </w14:solidFill>
                </w14:textFill>
              </w:rPr>
              <w:t>是</w:t>
            </w:r>
          </w:p>
        </w:tc>
      </w:tr>
    </w:tbl>
    <w:p w14:paraId="1A5E0018">
      <w:pPr>
        <w:rPr>
          <w:color w:val="000000" w:themeColor="text1"/>
          <w:highlight w:val="none"/>
          <w:u w:val="none"/>
          <w14:textFill>
            <w14:solidFill>
              <w14:schemeClr w14:val="tx1"/>
            </w14:solidFill>
          </w14:textFill>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2Y3OGEzN2JlYThjN2M0ZDAzZTc2YTQxZTA4N2UifQ=="/>
  </w:docVars>
  <w:rsids>
    <w:rsidRoot w:val="17820125"/>
    <w:rsid w:val="01D674FD"/>
    <w:rsid w:val="03920A67"/>
    <w:rsid w:val="03D83869"/>
    <w:rsid w:val="044D358C"/>
    <w:rsid w:val="05441C98"/>
    <w:rsid w:val="06F85085"/>
    <w:rsid w:val="09ED4C49"/>
    <w:rsid w:val="0B2226D0"/>
    <w:rsid w:val="0D0E081B"/>
    <w:rsid w:val="0D1174C0"/>
    <w:rsid w:val="0F1467D4"/>
    <w:rsid w:val="0F3E448E"/>
    <w:rsid w:val="12EF37E0"/>
    <w:rsid w:val="13834BB0"/>
    <w:rsid w:val="156947AC"/>
    <w:rsid w:val="17820125"/>
    <w:rsid w:val="17C31279"/>
    <w:rsid w:val="18291542"/>
    <w:rsid w:val="18F2030A"/>
    <w:rsid w:val="1CF4520D"/>
    <w:rsid w:val="21222FD3"/>
    <w:rsid w:val="22D93B65"/>
    <w:rsid w:val="235F246C"/>
    <w:rsid w:val="23754020"/>
    <w:rsid w:val="2533755C"/>
    <w:rsid w:val="26723E86"/>
    <w:rsid w:val="2A7725E1"/>
    <w:rsid w:val="2ECC311A"/>
    <w:rsid w:val="32BF0681"/>
    <w:rsid w:val="383E64EC"/>
    <w:rsid w:val="3A086DB2"/>
    <w:rsid w:val="3AC8727E"/>
    <w:rsid w:val="3B007A89"/>
    <w:rsid w:val="3E5951B9"/>
    <w:rsid w:val="404B17A6"/>
    <w:rsid w:val="40F234BD"/>
    <w:rsid w:val="41560847"/>
    <w:rsid w:val="468C17D5"/>
    <w:rsid w:val="47B75973"/>
    <w:rsid w:val="4C925E95"/>
    <w:rsid w:val="4E191781"/>
    <w:rsid w:val="4FFC5E87"/>
    <w:rsid w:val="51CB2747"/>
    <w:rsid w:val="51D82C07"/>
    <w:rsid w:val="53670B95"/>
    <w:rsid w:val="53E47AF0"/>
    <w:rsid w:val="54422A68"/>
    <w:rsid w:val="55FB55C5"/>
    <w:rsid w:val="56A25A40"/>
    <w:rsid w:val="64221656"/>
    <w:rsid w:val="642D06DA"/>
    <w:rsid w:val="65865E9F"/>
    <w:rsid w:val="65D03F34"/>
    <w:rsid w:val="731A0830"/>
    <w:rsid w:val="73351CBE"/>
    <w:rsid w:val="75B72E5F"/>
    <w:rsid w:val="792C184E"/>
    <w:rsid w:val="7CC1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pPr>
      <w:tabs>
        <w:tab w:val="left" w:pos="567"/>
      </w:tabs>
      <w:spacing w:before="120" w:line="22" w:lineRule="atLeast"/>
    </w:pPr>
    <w:rPr>
      <w:rFonts w:ascii="宋体" w:hAnsi="宋体"/>
      <w:sz w:val="24"/>
    </w:rPr>
  </w:style>
  <w:style w:type="paragraph" w:styleId="4">
    <w:name w:val="Body Text Indent"/>
    <w:basedOn w:val="1"/>
    <w:next w:val="5"/>
    <w:autoRedefine/>
    <w:qFormat/>
    <w:uiPriority w:val="0"/>
    <w:pPr>
      <w:spacing w:line="360" w:lineRule="auto"/>
      <w:ind w:firstLine="570"/>
    </w:pPr>
    <w:rPr>
      <w:sz w:val="24"/>
    </w:rPr>
  </w:style>
  <w:style w:type="paragraph" w:styleId="5">
    <w:name w:val="envelope return"/>
    <w:basedOn w:val="1"/>
    <w:autoRedefine/>
    <w:qFormat/>
    <w:uiPriority w:val="0"/>
    <w:pPr>
      <w:snapToGrid w:val="0"/>
    </w:pPr>
    <w:rPr>
      <w:rFonts w:ascii="Arial" w:hAnsi="Arial"/>
    </w:rPr>
  </w:style>
  <w:style w:type="paragraph" w:styleId="6">
    <w:name w:val="Body Text First Indent"/>
    <w:basedOn w:val="3"/>
    <w:next w:val="7"/>
    <w:autoRedefine/>
    <w:unhideWhenUsed/>
    <w:qFormat/>
    <w:uiPriority w:val="99"/>
    <w:pPr>
      <w:spacing w:after="120" w:line="240" w:lineRule="auto"/>
      <w:ind w:firstLine="420" w:firstLineChars="100"/>
    </w:pPr>
    <w:rPr>
      <w:color w:val="auto"/>
      <w:szCs w:val="24"/>
    </w:rPr>
  </w:style>
  <w:style w:type="paragraph" w:styleId="7">
    <w:name w:val="Body Text First Indent 2"/>
    <w:basedOn w:val="4"/>
    <w:next w:val="1"/>
    <w:autoRedefine/>
    <w:qFormat/>
    <w:uiPriority w:val="0"/>
    <w:pPr>
      <w:spacing w:after="120" w:line="480" w:lineRule="exact"/>
      <w:ind w:left="420" w:leftChars="200" w:firstLine="420" w:firstLineChars="200"/>
    </w:pPr>
    <w:rPr>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12">
    <w:name w:val="样式 首行缩进:  2 字符"/>
    <w:basedOn w:val="1"/>
    <w:autoRedefine/>
    <w:qFormat/>
    <w:uiPriority w:val="0"/>
    <w:pPr>
      <w:spacing w:line="480" w:lineRule="exact"/>
      <w:ind w:firstLine="560"/>
    </w:pPr>
    <w:rPr>
      <w:rFonts w:eastAsia="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2154</Words>
  <Characters>2185</Characters>
  <Lines>0</Lines>
  <Paragraphs>0</Paragraphs>
  <TotalTime>11</TotalTime>
  <ScaleCrop>false</ScaleCrop>
  <LinksUpToDate>false</LinksUpToDate>
  <CharactersWithSpaces>2185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2024-05-06T01:12:00Z</dcterms:created>
  <dc:creator>有志青年</dc:creator>
  <cp:lastModifiedBy>一默</cp:lastModifiedBy>
  <cp:lastPrinted>2024-06-17T09:38:00Z</cp:lastPrinted>
  <dcterms:modified xsi:type="dcterms:W3CDTF">2025-06-12T06:53:40Z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EF928536190145E0B6AC7DA2AC4083F8_13</vt:lpwstr>
  </property>
  <property fmtid="{D5CDD505-2E9C-101B-9397-08002B2CF9AE}" pid="4" name="KSOTemplateDocerSaveRecord">
    <vt:lpwstr>eyJoZGlkIjoiM2MzYzA2ZjQzYjVlNzU4MjNlYWU2OWYzMmE0YjU3M2MiLCJ1c2VySWQiOiIzNDM5MDE4MjgifQ==</vt:lpwstr>
  </property>
</Properties>
</file>