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ageBreakBefore w:val="0"/>
        <w:widowControl w:val="0"/>
        <w:numPr>
          <w:ilvl w:val="0"/>
          <w:numId w:val="0"/>
        </w:numPr>
        <w:kinsoku/>
        <w:wordWrap/>
        <w:overflowPunct/>
        <w:topLinePunct w:val="0"/>
        <w:autoSpaceDE/>
        <w:autoSpaceDN/>
        <w:bidi w:val="0"/>
        <w:adjustRightInd w:val="0"/>
        <w:snapToGrid w:val="0"/>
        <w:spacing w:before="0" w:after="0" w:line="360" w:lineRule="auto"/>
        <w:textAlignment w:val="baseline"/>
        <w:rPr>
          <w:rFonts w:hint="eastAsia" w:ascii="Times New Roman" w:hAnsi="Times New Roman" w:eastAsia="宋体" w:cs="Times New Roman"/>
          <w:spacing w:val="10"/>
          <w:sz w:val="24"/>
          <w:szCs w:val="24"/>
          <w:lang w:eastAsia="zh-CN"/>
        </w:rPr>
      </w:pPr>
      <w:bookmarkStart w:id="0" w:name="_Toc2432"/>
      <w:r>
        <w:rPr>
          <w:rStyle w:val="15"/>
          <w:rFonts w:hint="default" w:ascii="Times New Roman" w:hAnsi="Times New Roman" w:cs="Times New Roman"/>
          <w:b/>
          <w:bCs w:val="0"/>
        </w:rPr>
        <w:t>采购需求</w:t>
      </w:r>
      <w:bookmarkEnd w:id="0"/>
      <w:r>
        <w:rPr>
          <w:rStyle w:val="15"/>
          <w:rFonts w:hint="eastAsia" w:cs="Times New Roman"/>
          <w:b/>
          <w:bCs w:val="0"/>
          <w:lang w:eastAsia="zh-CN"/>
        </w:rPr>
        <w:t>（</w:t>
      </w:r>
      <w:r>
        <w:rPr>
          <w:rStyle w:val="15"/>
          <w:rFonts w:hint="eastAsia" w:cs="Times New Roman"/>
          <w:b/>
          <w:bCs w:val="0"/>
          <w:lang w:val="en-US" w:eastAsia="zh-CN"/>
        </w:rPr>
        <w:t>征求意见稿</w:t>
      </w:r>
      <w:r>
        <w:rPr>
          <w:rStyle w:val="15"/>
          <w:rFonts w:hint="eastAsia" w:cs="Times New Roman"/>
          <w:b/>
          <w:bCs w:val="0"/>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596" w:firstLineChars="198"/>
        <w:jc w:val="both"/>
        <w:textAlignment w:val="baseline"/>
        <w:rPr>
          <w:rFonts w:hint="default" w:ascii="Times New Roman" w:hAnsi="Times New Roman" w:eastAsia="宋体" w:cs="Times New Roman"/>
          <w:spacing w:val="10"/>
          <w:sz w:val="28"/>
          <w:szCs w:val="28"/>
        </w:rPr>
      </w:pPr>
      <w:r>
        <w:rPr>
          <w:rFonts w:hint="default" w:ascii="Times New Roman" w:hAnsi="Times New Roman" w:eastAsia="宋体" w:cs="Times New Roman"/>
          <w:spacing w:val="10"/>
          <w:sz w:val="28"/>
          <w:szCs w:val="28"/>
        </w:rPr>
        <w:t>一、商务标内容</w:t>
      </w:r>
    </w:p>
    <w:p>
      <w:pPr>
        <w:pageBreakBefore w:val="0"/>
        <w:widowControl w:val="0"/>
        <w:tabs>
          <w:tab w:val="left" w:pos="540"/>
        </w:tabs>
        <w:kinsoku/>
        <w:wordWrap/>
        <w:overflowPunct/>
        <w:topLinePunct w:val="0"/>
        <w:autoSpaceDE/>
        <w:autoSpaceDN/>
        <w:bidi w:val="0"/>
        <w:adjustRightInd w:val="0"/>
        <w:snapToGrid w:val="0"/>
        <w:spacing w:line="360" w:lineRule="auto"/>
        <w:ind w:firstLine="602" w:firstLineChars="250"/>
        <w:textAlignment w:val="baseline"/>
        <w:outlineLvl w:val="2"/>
        <w:rPr>
          <w:rFonts w:hint="default" w:ascii="Times New Roman" w:hAnsi="Times New Roman" w:cs="Times New Roman"/>
          <w:b/>
        </w:rPr>
      </w:pPr>
      <w:r>
        <w:rPr>
          <w:rFonts w:hint="default" w:ascii="Times New Roman" w:hAnsi="Times New Roman" w:cs="Times New Roman"/>
          <w:b/>
        </w:rPr>
        <w:t>*1、投标报价：</w:t>
      </w:r>
    </w:p>
    <w:p>
      <w:pPr>
        <w:pageBreakBefore w:val="0"/>
        <w:widowControl w:val="0"/>
        <w:tabs>
          <w:tab w:val="left" w:pos="540"/>
        </w:tabs>
        <w:kinsoku/>
        <w:wordWrap/>
        <w:overflowPunct/>
        <w:topLinePunct w:val="0"/>
        <w:autoSpaceDE/>
        <w:autoSpaceDN/>
        <w:bidi w:val="0"/>
        <w:adjustRightInd w:val="0"/>
        <w:snapToGrid w:val="0"/>
        <w:spacing w:line="360" w:lineRule="auto"/>
        <w:ind w:firstLine="600" w:firstLineChars="250"/>
        <w:textAlignment w:val="baseline"/>
        <w:rPr>
          <w:rFonts w:hint="default" w:ascii="Times New Roman" w:hAnsi="Times New Roman" w:cs="Times New Roman"/>
          <w:bCs/>
        </w:rPr>
      </w:pPr>
      <w:r>
        <w:rPr>
          <w:rFonts w:hint="default" w:ascii="Times New Roman" w:hAnsi="Times New Roman" w:cs="Times New Roman"/>
          <w:bCs/>
        </w:rPr>
        <w:t>本项目预算为</w:t>
      </w:r>
      <w:r>
        <w:rPr>
          <w:rFonts w:hint="default" w:ascii="Times New Roman" w:hAnsi="Times New Roman" w:cs="Times New Roman"/>
          <w:bCs/>
          <w:u w:val="single"/>
        </w:rPr>
        <w:t xml:space="preserve"> </w:t>
      </w:r>
      <w:r>
        <w:rPr>
          <w:rFonts w:hint="eastAsia" w:cs="Times New Roman"/>
          <w:bCs/>
          <w:u w:val="single"/>
          <w:lang w:val="en-US" w:eastAsia="zh-CN"/>
        </w:rPr>
        <w:t>105</w:t>
      </w:r>
      <w:r>
        <w:rPr>
          <w:rFonts w:hint="default" w:ascii="Times New Roman" w:hAnsi="Times New Roman" w:cs="Times New Roman"/>
          <w:bCs/>
          <w:u w:val="single"/>
        </w:rPr>
        <w:t xml:space="preserve"> </w:t>
      </w:r>
      <w:r>
        <w:rPr>
          <w:rFonts w:hint="default" w:ascii="Times New Roman" w:hAnsi="Times New Roman" w:cs="Times New Roman"/>
          <w:bCs/>
        </w:rPr>
        <w:t>万元，</w:t>
      </w:r>
      <w:r>
        <w:rPr>
          <w:rFonts w:hint="default" w:ascii="Times New Roman" w:hAnsi="Times New Roman" w:cs="Times New Roman"/>
          <w:szCs w:val="24"/>
        </w:rPr>
        <w:t>供应商投标报价超过预算的为</w:t>
      </w:r>
      <w:r>
        <w:rPr>
          <w:rFonts w:hint="default" w:ascii="Times New Roman" w:hAnsi="Times New Roman" w:cs="Times New Roman"/>
          <w:b/>
          <w:bCs/>
          <w:szCs w:val="24"/>
        </w:rPr>
        <w:t>无效投标</w:t>
      </w:r>
      <w:r>
        <w:rPr>
          <w:rFonts w:hint="default" w:ascii="Times New Roman" w:hAnsi="Times New Roman" w:cs="Times New Roman"/>
          <w:szCs w:val="24"/>
        </w:rPr>
        <w:t>。</w:t>
      </w:r>
      <w:r>
        <w:rPr>
          <w:rFonts w:hint="default" w:ascii="Times New Roman" w:hAnsi="Times New Roman" w:cs="Times New Roman"/>
          <w:bCs/>
        </w:rPr>
        <w:t>投标报价包含完成采购项目的技术服务、实施、运输、保险及各项税金等所有费用。</w:t>
      </w:r>
    </w:p>
    <w:p>
      <w:pPr>
        <w:pageBreakBefore w:val="0"/>
        <w:widowControl w:val="0"/>
        <w:tabs>
          <w:tab w:val="left" w:pos="540"/>
        </w:tabs>
        <w:kinsoku/>
        <w:wordWrap/>
        <w:overflowPunct/>
        <w:topLinePunct w:val="0"/>
        <w:autoSpaceDE/>
        <w:autoSpaceDN/>
        <w:bidi w:val="0"/>
        <w:adjustRightInd w:val="0"/>
        <w:snapToGrid w:val="0"/>
        <w:spacing w:line="360" w:lineRule="auto"/>
        <w:ind w:firstLine="602" w:firstLineChars="250"/>
        <w:textAlignment w:val="baseline"/>
        <w:outlineLvl w:val="2"/>
        <w:rPr>
          <w:rFonts w:hint="default" w:ascii="Times New Roman" w:hAnsi="Times New Roman" w:cs="Times New Roman"/>
          <w:b/>
        </w:rPr>
      </w:pPr>
      <w:r>
        <w:rPr>
          <w:rFonts w:hint="default" w:ascii="Times New Roman" w:hAnsi="Times New Roman" w:cs="Times New Roman"/>
          <w:b/>
        </w:rPr>
        <w:t xml:space="preserve">2、项目实施地点： </w:t>
      </w:r>
    </w:p>
    <w:p>
      <w:pPr>
        <w:pageBreakBefore w:val="0"/>
        <w:widowControl w:val="0"/>
        <w:tabs>
          <w:tab w:val="left" w:pos="540"/>
        </w:tabs>
        <w:kinsoku/>
        <w:wordWrap/>
        <w:overflowPunct/>
        <w:topLinePunct w:val="0"/>
        <w:autoSpaceDE/>
        <w:autoSpaceDN/>
        <w:bidi w:val="0"/>
        <w:adjustRightInd w:val="0"/>
        <w:snapToGrid w:val="0"/>
        <w:spacing w:line="360" w:lineRule="auto"/>
        <w:ind w:firstLine="600" w:firstLineChars="250"/>
        <w:textAlignment w:val="baseline"/>
        <w:rPr>
          <w:rFonts w:hint="default" w:ascii="Times New Roman" w:hAnsi="Times New Roman" w:cs="Times New Roman"/>
          <w:b/>
          <w:u w:val="none"/>
        </w:rPr>
      </w:pPr>
      <w:r>
        <w:rPr>
          <w:rFonts w:hint="eastAsia" w:cs="Times New Roman"/>
          <w:bCs/>
          <w:u w:val="none"/>
          <w:lang w:val="en-US" w:eastAsia="zh-CN"/>
        </w:rPr>
        <w:t>采购人指定地点</w:t>
      </w:r>
      <w:r>
        <w:rPr>
          <w:rFonts w:hint="default" w:ascii="Times New Roman" w:hAnsi="Times New Roman" w:cs="Times New Roman"/>
          <w:bCs/>
          <w:u w:val="none"/>
        </w:rPr>
        <w:t>。</w:t>
      </w:r>
    </w:p>
    <w:p>
      <w:pPr>
        <w:pageBreakBefore w:val="0"/>
        <w:widowControl w:val="0"/>
        <w:tabs>
          <w:tab w:val="left" w:pos="540"/>
        </w:tabs>
        <w:kinsoku/>
        <w:wordWrap/>
        <w:overflowPunct/>
        <w:topLinePunct w:val="0"/>
        <w:autoSpaceDE/>
        <w:autoSpaceDN/>
        <w:bidi w:val="0"/>
        <w:adjustRightInd w:val="0"/>
        <w:snapToGrid w:val="0"/>
        <w:spacing w:line="360" w:lineRule="auto"/>
        <w:ind w:firstLine="602" w:firstLineChars="250"/>
        <w:textAlignment w:val="baseline"/>
        <w:outlineLvl w:val="2"/>
        <w:rPr>
          <w:rFonts w:hint="default" w:ascii="Times New Roman" w:hAnsi="Times New Roman" w:cs="Times New Roman"/>
          <w:b/>
        </w:rPr>
      </w:pPr>
      <w:r>
        <w:rPr>
          <w:rFonts w:hint="default" w:ascii="Times New Roman" w:hAnsi="Times New Roman" w:cs="Times New Roman"/>
          <w:b/>
        </w:rPr>
        <w:t>3、付款方式：</w:t>
      </w:r>
    </w:p>
    <w:p>
      <w:pPr>
        <w:pageBreakBefore w:val="0"/>
        <w:widowControl w:val="0"/>
        <w:tabs>
          <w:tab w:val="left" w:pos="540"/>
        </w:tabs>
        <w:kinsoku/>
        <w:wordWrap/>
        <w:overflowPunct/>
        <w:topLinePunct w:val="0"/>
        <w:autoSpaceDE/>
        <w:autoSpaceDN/>
        <w:bidi w:val="0"/>
        <w:adjustRightInd w:val="0"/>
        <w:snapToGrid w:val="0"/>
        <w:spacing w:line="360" w:lineRule="auto"/>
        <w:ind w:firstLine="600" w:firstLineChars="250"/>
        <w:textAlignment w:val="baseline"/>
        <w:rPr>
          <w:rFonts w:hint="default" w:ascii="Times New Roman" w:hAnsi="Times New Roman" w:cs="Times New Roman"/>
          <w:bCs/>
          <w:highlight w:val="none"/>
          <w:u w:val="none"/>
        </w:rPr>
      </w:pPr>
      <w:r>
        <w:rPr>
          <w:rFonts w:hint="default" w:ascii="Times New Roman" w:hAnsi="Times New Roman" w:cs="Times New Roman"/>
          <w:bCs/>
          <w:highlight w:val="none"/>
          <w:u w:val="none"/>
        </w:rPr>
        <w:t xml:space="preserve"> 合同签订之日起30个工作日内支付合同总额的</w:t>
      </w:r>
      <w:r>
        <w:rPr>
          <w:rFonts w:hint="eastAsia" w:cs="Times New Roman"/>
          <w:bCs/>
          <w:highlight w:val="none"/>
          <w:u w:val="none"/>
          <w:lang w:val="en-US" w:eastAsia="zh-CN"/>
        </w:rPr>
        <w:t>7</w:t>
      </w:r>
      <w:r>
        <w:rPr>
          <w:rFonts w:hint="default" w:ascii="Times New Roman" w:hAnsi="Times New Roman" w:cs="Times New Roman"/>
          <w:bCs/>
          <w:highlight w:val="none"/>
          <w:u w:val="none"/>
        </w:rPr>
        <w:t>0%，项目</w:t>
      </w:r>
      <w:r>
        <w:rPr>
          <w:rFonts w:hint="eastAsia" w:cs="Times New Roman"/>
          <w:bCs/>
          <w:highlight w:val="none"/>
          <w:u w:val="none"/>
          <w:lang w:val="en-US" w:eastAsia="zh-CN"/>
        </w:rPr>
        <w:t>首次季度考核达90分以上</w:t>
      </w:r>
      <w:r>
        <w:rPr>
          <w:rFonts w:hint="default" w:ascii="Times New Roman" w:hAnsi="Times New Roman" w:cs="Times New Roman"/>
          <w:bCs/>
          <w:highlight w:val="none"/>
          <w:u w:val="none"/>
        </w:rPr>
        <w:t>支付合同金额的30%。</w:t>
      </w:r>
    </w:p>
    <w:p>
      <w:pPr>
        <w:tabs>
          <w:tab w:val="left" w:pos="540"/>
        </w:tabs>
        <w:snapToGrid w:val="0"/>
        <w:spacing w:line="360" w:lineRule="auto"/>
        <w:ind w:firstLine="602" w:firstLineChars="250"/>
        <w:outlineLvl w:val="2"/>
        <w:rPr>
          <w:rFonts w:hint="default" w:ascii="Times New Roman" w:hAnsi="Times New Roman" w:cs="Times New Roman"/>
          <w:b/>
        </w:rPr>
      </w:pPr>
      <w:r>
        <w:rPr>
          <w:rFonts w:hint="default" w:ascii="Times New Roman" w:hAnsi="Times New Roman" w:cs="Times New Roman"/>
          <w:b/>
        </w:rPr>
        <w:t>4、项目验收要求</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1.验收阶段：</w:t>
      </w:r>
      <w:r>
        <w:rPr>
          <w:rFonts w:hint="eastAsia" w:ascii="宋体" w:hAnsi="宋体"/>
          <w:color w:val="auto"/>
          <w:sz w:val="24"/>
          <w:highlight w:val="none"/>
          <w:lang w:val="en-US" w:eastAsia="zh-CN"/>
        </w:rPr>
        <w:t>季度考核、</w:t>
      </w:r>
      <w:bookmarkStart w:id="1" w:name="OLE_LINK1"/>
      <w:r>
        <w:rPr>
          <w:rFonts w:hint="eastAsia" w:ascii="宋体" w:hAnsi="宋体"/>
          <w:color w:val="auto"/>
          <w:sz w:val="24"/>
          <w:highlight w:val="none"/>
          <w:lang w:val="en-US" w:eastAsia="zh-CN"/>
        </w:rPr>
        <w:t>合同履约</w:t>
      </w:r>
      <w:bookmarkEnd w:id="1"/>
      <w:r>
        <w:rPr>
          <w:rFonts w:hint="eastAsia" w:ascii="宋体" w:hAnsi="宋体"/>
          <w:color w:val="auto"/>
          <w:sz w:val="24"/>
          <w:highlight w:val="none"/>
          <w:lang w:val="en-US" w:eastAsia="zh-CN"/>
        </w:rPr>
        <w:t>验收</w:t>
      </w:r>
      <w:r>
        <w:rPr>
          <w:rFonts w:hint="eastAsia" w:ascii="宋体" w:hAnsi="宋体"/>
          <w:color w:val="auto"/>
          <w:sz w:val="24"/>
          <w:highlight w:val="none"/>
          <w:lang w:eastAsia="zh-CN"/>
        </w:rPr>
        <w:t>。</w:t>
      </w:r>
    </w:p>
    <w:p>
      <w:pPr>
        <w:pStyle w:val="10"/>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2.验收地点：</w:t>
      </w:r>
      <w:r>
        <w:rPr>
          <w:rFonts w:hint="eastAsia" w:ascii="宋体" w:hAnsi="宋体" w:cs="Times New Roman"/>
          <w:color w:val="auto"/>
          <w:kern w:val="2"/>
          <w:sz w:val="24"/>
          <w:szCs w:val="24"/>
          <w:highlight w:val="none"/>
          <w:lang w:val="en-US" w:eastAsia="zh-CN" w:bidi="ar-SA"/>
        </w:rPr>
        <w:t>河北雄安新区气象局</w:t>
      </w:r>
      <w:r>
        <w:rPr>
          <w:rFonts w:hint="eastAsia" w:ascii="宋体" w:hAnsi="宋体" w:eastAsia="宋体" w:cs="Times New Roman"/>
          <w:color w:val="auto"/>
          <w:kern w:val="2"/>
          <w:sz w:val="24"/>
          <w:szCs w:val="24"/>
          <w:highlight w:val="none"/>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eastAsia="宋体" w:cs="Times New Roman"/>
          <w:color w:val="auto"/>
          <w:kern w:val="2"/>
          <w:sz w:val="24"/>
          <w:szCs w:val="24"/>
          <w:highlight w:val="none"/>
          <w:lang w:val="en-US" w:eastAsia="zh-CN" w:bidi="ar-SA"/>
        </w:rPr>
        <w:t>3.验收方法：项目验收须符</w:t>
      </w:r>
      <w:r>
        <w:rPr>
          <w:rFonts w:hint="eastAsia" w:ascii="宋体" w:hAnsi="宋体"/>
          <w:color w:val="auto"/>
          <w:sz w:val="24"/>
          <w:highlight w:val="none"/>
        </w:rPr>
        <w:t>合河北雄安新区关于政府信息化项目管理办法的要求。</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ascii="宋体" w:hAnsi="宋体"/>
          <w:color w:val="auto"/>
          <w:sz w:val="24"/>
          <w:highlight w:val="none"/>
        </w:rPr>
        <w:t>4.</w:t>
      </w:r>
      <w:r>
        <w:rPr>
          <w:rFonts w:hint="eastAsia" w:ascii="宋体" w:hAnsi="宋体"/>
          <w:color w:val="auto"/>
          <w:sz w:val="24"/>
          <w:highlight w:val="none"/>
          <w:lang w:val="en-US" w:eastAsia="zh-CN"/>
        </w:rPr>
        <w:t>合同服务履约结束后，</w:t>
      </w:r>
      <w:r>
        <w:rPr>
          <w:rFonts w:hint="eastAsia" w:ascii="宋体" w:hAnsi="宋体"/>
          <w:color w:val="auto"/>
          <w:sz w:val="24"/>
          <w:highlight w:val="none"/>
        </w:rPr>
        <w:t>采购人组织相关专家根据合同要求组织验收。</w:t>
      </w:r>
    </w:p>
    <w:p>
      <w:pPr>
        <w:shd w:val="clea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5.项目总体验收标准是结合国家标准、</w:t>
      </w:r>
      <w:r>
        <w:rPr>
          <w:rFonts w:hint="eastAsia" w:ascii="宋体" w:hAnsi="宋体"/>
          <w:color w:val="auto"/>
          <w:sz w:val="24"/>
          <w:highlight w:val="none"/>
          <w:lang w:val="en-US" w:eastAsia="zh-CN"/>
        </w:rPr>
        <w:t>系统运维</w:t>
      </w:r>
      <w:r>
        <w:rPr>
          <w:rFonts w:hint="eastAsia" w:ascii="宋体" w:hAnsi="宋体"/>
          <w:color w:val="auto"/>
          <w:sz w:val="24"/>
          <w:highlight w:val="none"/>
        </w:rPr>
        <w:t>惯例所提出的</w:t>
      </w:r>
      <w:r>
        <w:rPr>
          <w:rFonts w:hint="eastAsia" w:ascii="宋体" w:hAnsi="宋体"/>
          <w:color w:val="auto"/>
          <w:sz w:val="24"/>
          <w:highlight w:val="none"/>
          <w:lang w:val="en-US" w:eastAsia="zh-CN"/>
        </w:rPr>
        <w:t>运维</w:t>
      </w:r>
      <w:r>
        <w:rPr>
          <w:rFonts w:hint="eastAsia" w:ascii="宋体" w:hAnsi="宋体"/>
          <w:color w:val="auto"/>
          <w:sz w:val="24"/>
          <w:highlight w:val="none"/>
        </w:rPr>
        <w:t>质量的最低要求。项目交付需满足招标文件采购需求所列事项。</w:t>
      </w:r>
    </w:p>
    <w:p>
      <w:pPr>
        <w:shd w:val="clea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5.1.交付文档。交付完善的</w:t>
      </w:r>
      <w:r>
        <w:rPr>
          <w:rFonts w:hint="eastAsia" w:ascii="宋体" w:hAnsi="宋体"/>
          <w:color w:val="auto"/>
          <w:sz w:val="24"/>
          <w:highlight w:val="none"/>
          <w:lang w:val="en-US" w:eastAsia="zh-CN"/>
        </w:rPr>
        <w:t>运维手册、运维日志及运维报告等</w:t>
      </w:r>
      <w:r>
        <w:rPr>
          <w:rFonts w:hint="eastAsia" w:ascii="宋体" w:hAnsi="宋体"/>
          <w:color w:val="auto"/>
          <w:sz w:val="24"/>
          <w:highlight w:val="none"/>
        </w:rPr>
        <w:t>。</w:t>
      </w:r>
    </w:p>
    <w:p>
      <w:pPr>
        <w:pBdr>
          <w:top w:val="none" w:color="auto" w:sz="0" w:space="1"/>
          <w:left w:val="none" w:color="auto" w:sz="0" w:space="4"/>
          <w:bottom w:val="none" w:color="auto" w:sz="0" w:space="1"/>
          <w:right w:val="none" w:color="auto" w:sz="0" w:space="4"/>
        </w:pBdr>
        <w:shd w:val="clea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z w:val="24"/>
          <w:highlight w:val="none"/>
          <w:lang w:val="en-US" w:eastAsia="zh-CN"/>
        </w:rPr>
        <w:t>运维</w:t>
      </w:r>
      <w:r>
        <w:rPr>
          <w:rFonts w:hint="eastAsia" w:ascii="宋体" w:hAnsi="宋体"/>
          <w:color w:val="auto"/>
          <w:sz w:val="24"/>
          <w:highlight w:val="none"/>
        </w:rPr>
        <w:t>质量。</w:t>
      </w:r>
      <w:r>
        <w:rPr>
          <w:rFonts w:hint="eastAsia" w:ascii="宋体" w:hAnsi="宋体"/>
          <w:color w:val="auto"/>
          <w:sz w:val="24"/>
          <w:highlight w:val="none"/>
          <w:lang w:val="en-US" w:eastAsia="zh-CN"/>
        </w:rPr>
        <w:t>通过季度考核</w:t>
      </w:r>
      <w:r>
        <w:rPr>
          <w:rFonts w:hint="eastAsia" w:ascii="宋体" w:hAnsi="宋体"/>
          <w:color w:val="auto"/>
          <w:sz w:val="24"/>
          <w:highlight w:val="none"/>
        </w:rPr>
        <w:t>。</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3</w:t>
      </w:r>
      <w:r>
        <w:rPr>
          <w:rFonts w:hint="eastAsia" w:ascii="宋体" w:hAnsi="宋体"/>
          <w:color w:val="auto"/>
          <w:sz w:val="24"/>
          <w:highlight w:val="none"/>
        </w:rPr>
        <w:t>.项目满意度。</w:t>
      </w:r>
      <w:r>
        <w:rPr>
          <w:rFonts w:hint="eastAsia" w:ascii="宋体" w:hAnsi="宋体"/>
          <w:color w:val="auto"/>
          <w:sz w:val="24"/>
          <w:highlight w:val="none"/>
          <w:lang w:val="en-US" w:eastAsia="zh-CN"/>
        </w:rPr>
        <w:t>河北雄安新区气象局</w:t>
      </w:r>
      <w:r>
        <w:rPr>
          <w:rFonts w:hint="eastAsia" w:ascii="宋体" w:hAnsi="宋体"/>
          <w:color w:val="auto"/>
          <w:sz w:val="24"/>
          <w:highlight w:val="none"/>
        </w:rPr>
        <w:t>对本项目功能的满意程度评判需达到90%及以上。</w:t>
      </w:r>
    </w:p>
    <w:p>
      <w:pPr>
        <w:tabs>
          <w:tab w:val="left" w:pos="540"/>
        </w:tabs>
        <w:snapToGrid w:val="0"/>
        <w:spacing w:line="360" w:lineRule="auto"/>
        <w:ind w:firstLine="602" w:firstLineChars="250"/>
        <w:outlineLvl w:val="2"/>
        <w:rPr>
          <w:rFonts w:hint="default" w:ascii="Times New Roman" w:hAnsi="Times New Roman" w:eastAsia="宋体" w:cs="Times New Roman"/>
          <w:b/>
          <w:lang w:val="en-US" w:eastAsia="zh-CN"/>
        </w:rPr>
      </w:pPr>
      <w:r>
        <w:rPr>
          <w:rFonts w:hint="default" w:ascii="Times New Roman" w:hAnsi="Times New Roman" w:cs="Times New Roman"/>
          <w:b/>
        </w:rPr>
        <w:t>5、</w:t>
      </w:r>
      <w:r>
        <w:rPr>
          <w:rFonts w:hint="eastAsia" w:cs="Times New Roman"/>
          <w:b/>
          <w:lang w:val="en-US" w:eastAsia="zh-CN"/>
        </w:rPr>
        <w:t>违约责任</w:t>
      </w:r>
    </w:p>
    <w:p>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w:t>
      </w:r>
      <w:r>
        <w:rPr>
          <w:rFonts w:hint="eastAsia" w:ascii="宋体" w:hAnsi="宋体" w:cs="宋体"/>
          <w:color w:val="auto"/>
          <w:sz w:val="24"/>
          <w:highlight w:val="none"/>
        </w:rPr>
        <w:t>所有成交内容均需按照采购文件指标要求进行检查核对后方可进行报验，不满足采购文件指标和响应承诺的，采购人有权不对其进行验收</w:t>
      </w:r>
      <w:r>
        <w:rPr>
          <w:rFonts w:hint="eastAsia" w:ascii="宋体" w:hAnsi="宋体" w:cs="宋体"/>
          <w:color w:val="auto"/>
          <w:sz w:val="24"/>
          <w:highlight w:val="none"/>
          <w:lang w:eastAsia="zh-CN"/>
        </w:rPr>
        <w:t>；</w:t>
      </w:r>
      <w:r>
        <w:rPr>
          <w:rFonts w:hint="eastAsia" w:ascii="宋体" w:hAnsi="宋体" w:cs="宋体"/>
          <w:color w:val="auto"/>
          <w:sz w:val="24"/>
          <w:highlight w:val="none"/>
        </w:rPr>
        <w:t>同时中标人对不满足要求的内容承担违约责任。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w:t>
      </w:r>
      <w:r>
        <w:rPr>
          <w:rFonts w:hint="eastAsia" w:ascii="宋体" w:hAnsi="宋体" w:cs="宋体"/>
          <w:color w:val="auto"/>
          <w:sz w:val="24"/>
          <w:highlight w:val="none"/>
        </w:rPr>
        <w:t>若非采购人原因，中标人逾期提供服务的，中标人应向采购人支付逾期违约金，逾期违约金为每延误3</w:t>
      </w:r>
      <w:r>
        <w:rPr>
          <w:rFonts w:ascii="宋体" w:hAnsi="宋体" w:cs="宋体"/>
          <w:color w:val="auto"/>
          <w:sz w:val="24"/>
          <w:highlight w:val="none"/>
        </w:rPr>
        <w:t>0</w:t>
      </w:r>
      <w:r>
        <w:rPr>
          <w:rFonts w:hint="eastAsia" w:ascii="宋体" w:hAnsi="宋体" w:cs="宋体"/>
          <w:color w:val="auto"/>
          <w:sz w:val="24"/>
          <w:highlight w:val="none"/>
        </w:rPr>
        <w:t>天的赔偿费按总价款的1%计收，直至提供服务为止。误期赔偿费的最高限额为合同价格的5%。因不可抗力因素或中标人原因导致服务期内未能履行合同内容且服务期限超过180日历天的，采购人视合同履行情况有权终止合同，解除合同关系。</w:t>
      </w:r>
    </w:p>
    <w:p>
      <w:pPr>
        <w:tabs>
          <w:tab w:val="left" w:pos="540"/>
        </w:tabs>
        <w:snapToGrid w:val="0"/>
        <w:spacing w:line="360" w:lineRule="auto"/>
        <w:ind w:firstLine="600" w:firstLineChars="250"/>
        <w:rPr>
          <w:rFonts w:hint="default" w:ascii="Times New Roman" w:hAnsi="Times New Roman" w:cs="Times New Roman"/>
          <w:b/>
        </w:rPr>
      </w:pPr>
      <w:r>
        <w:rPr>
          <w:rFonts w:hint="eastAsia" w:ascii="宋体" w:hAnsi="宋体" w:cs="宋体"/>
          <w:color w:val="auto"/>
          <w:sz w:val="24"/>
          <w:highlight w:val="none"/>
        </w:rPr>
        <w:t>3</w:t>
      </w:r>
      <w:r>
        <w:rPr>
          <w:rFonts w:ascii="宋体" w:hAnsi="宋体" w:cs="宋体"/>
          <w:color w:val="auto"/>
          <w:sz w:val="24"/>
          <w:highlight w:val="none"/>
        </w:rPr>
        <w:t>.</w:t>
      </w:r>
      <w:r>
        <w:rPr>
          <w:rFonts w:hint="eastAsia" w:ascii="宋体" w:hAnsi="宋体" w:cs="宋体"/>
          <w:color w:val="auto"/>
          <w:sz w:val="24"/>
          <w:highlight w:val="none"/>
        </w:rPr>
        <w:t>其它违约责任按《中华人民共和国民法典》处理。</w:t>
      </w:r>
    </w:p>
    <w:p>
      <w:pPr>
        <w:tabs>
          <w:tab w:val="left" w:pos="540"/>
        </w:tabs>
        <w:snapToGrid w:val="0"/>
        <w:spacing w:line="360" w:lineRule="auto"/>
        <w:ind w:firstLine="602" w:firstLineChars="250"/>
        <w:outlineLvl w:val="2"/>
        <w:rPr>
          <w:rFonts w:hint="default" w:ascii="Times New Roman" w:hAnsi="Times New Roman" w:cs="Times New Roman"/>
          <w:b/>
        </w:rPr>
      </w:pPr>
      <w:r>
        <w:rPr>
          <w:rFonts w:hint="default" w:ascii="Times New Roman" w:hAnsi="Times New Roman" w:cs="Times New Roman"/>
          <w:b/>
        </w:rPr>
        <w:t>6、其他</w:t>
      </w:r>
    </w:p>
    <w:p>
      <w:pPr>
        <w:shd w:val="clear"/>
        <w:spacing w:line="360" w:lineRule="auto"/>
        <w:ind w:firstLine="480" w:firstLineChars="200"/>
        <w:rPr>
          <w:rFonts w:hint="eastAsia" w:ascii="宋体" w:hAnsi="宋体" w:eastAsia="宋体" w:cs="Times New Roman"/>
          <w:color w:val="auto"/>
          <w:sz w:val="24"/>
          <w:highlight w:val="none"/>
        </w:rPr>
      </w:pPr>
      <w:r>
        <w:rPr>
          <w:rFonts w:hint="eastAsia" w:ascii="宋体" w:hAnsi="宋体"/>
          <w:color w:val="auto"/>
          <w:sz w:val="24"/>
          <w:highlight w:val="none"/>
        </w:rPr>
        <w:t>1.</w:t>
      </w:r>
      <w:r>
        <w:rPr>
          <w:rFonts w:hint="eastAsia" w:ascii="宋体" w:hAnsi="宋体" w:eastAsia="宋体" w:cs="Times New Roman"/>
          <w:color w:val="auto"/>
          <w:sz w:val="24"/>
          <w:highlight w:val="none"/>
        </w:rPr>
        <w:t>本项目专门面向中小企业</w:t>
      </w:r>
      <w:r>
        <w:rPr>
          <w:rFonts w:hint="eastAsia" w:ascii="宋体" w:hAnsi="宋体"/>
          <w:color w:val="auto"/>
          <w:sz w:val="24"/>
          <w:highlight w:val="none"/>
        </w:rPr>
        <w:t>。</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本项目</w:t>
      </w:r>
      <w:r>
        <w:rPr>
          <w:rFonts w:hint="eastAsia" w:ascii="宋体" w:hAnsi="宋体"/>
          <w:color w:val="auto"/>
          <w:sz w:val="24"/>
          <w:highlight w:val="none"/>
        </w:rPr>
        <w:t>不</w:t>
      </w:r>
      <w:r>
        <w:rPr>
          <w:rFonts w:ascii="宋体" w:hAnsi="宋体"/>
          <w:color w:val="auto"/>
          <w:sz w:val="24"/>
          <w:highlight w:val="none"/>
        </w:rPr>
        <w:t>接受联合体投标。</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本项目</w:t>
      </w:r>
      <w:r>
        <w:rPr>
          <w:rFonts w:hint="eastAsia" w:ascii="宋体" w:hAnsi="宋体"/>
          <w:color w:val="auto"/>
          <w:sz w:val="24"/>
          <w:highlight w:val="none"/>
        </w:rPr>
        <w:t>不</w:t>
      </w:r>
      <w:r>
        <w:rPr>
          <w:rFonts w:ascii="宋体" w:hAnsi="宋体"/>
          <w:color w:val="auto"/>
          <w:sz w:val="24"/>
          <w:highlight w:val="none"/>
        </w:rPr>
        <w:t>收取投标保证金。</w:t>
      </w:r>
    </w:p>
    <w:p>
      <w:pPr>
        <w:pBdr>
          <w:top w:val="none" w:color="auto" w:sz="0" w:space="1"/>
          <w:left w:val="none" w:color="auto" w:sz="0" w:space="4"/>
          <w:bottom w:val="none" w:color="auto" w:sz="0" w:space="1"/>
          <w:right w:val="none" w:color="auto" w:sz="0" w:space="4"/>
        </w:pBdr>
        <w:shd w:val="clear"/>
        <w:spacing w:line="360" w:lineRule="auto"/>
        <w:ind w:firstLine="480" w:firstLineChars="200"/>
        <w:rPr>
          <w:rFonts w:hint="eastAsia" w:ascii="宋体" w:hAnsi="宋体"/>
          <w:color w:val="auto"/>
          <w:sz w:val="32"/>
          <w:highlight w:val="none"/>
        </w:rPr>
      </w:pPr>
      <w:r>
        <w:rPr>
          <w:rFonts w:hint="eastAsia" w:ascii="宋体" w:hAnsi="宋体"/>
          <w:color w:val="auto"/>
          <w:sz w:val="24"/>
          <w:highlight w:val="none"/>
          <w:lang w:val="en-US" w:eastAsia="zh-CN"/>
        </w:rPr>
        <w:t>4.本项目允许分包。</w:t>
      </w:r>
    </w:p>
    <w:p>
      <w:pPr>
        <w:pStyle w:val="3"/>
        <w:keepNext w:val="0"/>
        <w:keepLines w:val="0"/>
        <w:numPr>
          <w:ilvl w:val="0"/>
          <w:numId w:val="0"/>
        </w:numPr>
        <w:snapToGrid w:val="0"/>
        <w:spacing w:before="0" w:after="0" w:line="360" w:lineRule="auto"/>
        <w:ind w:firstLine="477" w:firstLineChars="198"/>
        <w:jc w:val="both"/>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注：上述商务要求中加*项目为重要商务要求，投标响应低于招标文件规定要求的其投标无效。</w:t>
      </w:r>
    </w:p>
    <w:p>
      <w:pPr>
        <w:pStyle w:val="3"/>
        <w:keepNext w:val="0"/>
        <w:keepLines w:val="0"/>
        <w:numPr>
          <w:ilvl w:val="0"/>
          <w:numId w:val="0"/>
        </w:numPr>
        <w:snapToGrid w:val="0"/>
        <w:spacing w:before="0" w:after="0" w:line="360" w:lineRule="auto"/>
        <w:ind w:firstLine="596" w:firstLineChars="198"/>
        <w:jc w:val="both"/>
        <w:rPr>
          <w:rFonts w:hint="default" w:ascii="Times New Roman" w:hAnsi="Times New Roman" w:eastAsia="宋体" w:cs="Times New Roman"/>
          <w:highlight w:val="none"/>
        </w:rPr>
      </w:pPr>
      <w:r>
        <w:rPr>
          <w:rFonts w:hint="default" w:ascii="Times New Roman" w:hAnsi="Times New Roman" w:eastAsia="宋体" w:cs="Times New Roman"/>
          <w:spacing w:val="10"/>
          <w:sz w:val="28"/>
          <w:szCs w:val="28"/>
          <w:highlight w:val="none"/>
        </w:rPr>
        <w:t>二、技术标内容</w:t>
      </w:r>
    </w:p>
    <w:p>
      <w:pPr>
        <w:pStyle w:val="3"/>
        <w:keepNext w:val="0"/>
        <w:keepLines w:val="0"/>
        <w:numPr>
          <w:ilvl w:val="0"/>
          <w:numId w:val="0"/>
        </w:numPr>
        <w:snapToGrid w:val="0"/>
        <w:spacing w:before="0" w:after="0" w:line="360" w:lineRule="auto"/>
        <w:ind w:firstLine="517" w:firstLineChars="198"/>
        <w:jc w:val="both"/>
        <w:rPr>
          <w:rFonts w:hint="default" w:ascii="Times New Roman" w:hAnsi="Times New Roman" w:eastAsia="宋体" w:cs="Times New Roman"/>
          <w:spacing w:val="10"/>
          <w:sz w:val="24"/>
          <w:szCs w:val="24"/>
          <w:highlight w:val="none"/>
        </w:rPr>
      </w:pPr>
      <w:r>
        <w:rPr>
          <w:rFonts w:hint="default" w:ascii="Times New Roman" w:hAnsi="Times New Roman" w:eastAsia="宋体" w:cs="Times New Roman"/>
          <w:spacing w:val="10"/>
          <w:sz w:val="24"/>
          <w:szCs w:val="24"/>
          <w:highlight w:val="none"/>
        </w:rPr>
        <w:t>（一）采购项目概况</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本项目需</w:t>
      </w:r>
      <w:r>
        <w:rPr>
          <w:rFonts w:hint="default" w:ascii="宋体" w:hAnsi="宋体" w:cs="宋体"/>
          <w:b w:val="0"/>
          <w:bCs w:val="0"/>
          <w:color w:val="auto"/>
          <w:sz w:val="24"/>
          <w:szCs w:val="24"/>
          <w:highlight w:val="none"/>
          <w:lang w:val="en-US" w:eastAsia="zh-CN"/>
        </w:rPr>
        <w:t>建立集中化的运行维护管理体系，整合气象灾害防御决策支撑平台、气象大脑平台、气象信息靶向发布和叫应系统</w:t>
      </w:r>
      <w:r>
        <w:rPr>
          <w:rFonts w:hint="eastAsia" w:ascii="宋体" w:hAnsi="宋体" w:cs="宋体"/>
          <w:b w:val="0"/>
          <w:bCs w:val="0"/>
          <w:color w:val="auto"/>
          <w:sz w:val="24"/>
          <w:szCs w:val="24"/>
          <w:highlight w:val="none"/>
          <w:lang w:val="en-US" w:eastAsia="zh-CN"/>
        </w:rPr>
        <w:t>、</w:t>
      </w:r>
      <w:r>
        <w:rPr>
          <w:rFonts w:hint="default" w:ascii="宋体" w:hAnsi="宋体" w:cs="宋体"/>
          <w:b w:val="0"/>
          <w:bCs w:val="0"/>
          <w:color w:val="auto"/>
          <w:sz w:val="24"/>
          <w:szCs w:val="24"/>
          <w:highlight w:val="none"/>
          <w:lang w:val="en-US" w:eastAsia="zh-CN"/>
        </w:rPr>
        <w:t>微信公众号</w:t>
      </w:r>
      <w:r>
        <w:rPr>
          <w:rFonts w:hint="eastAsia" w:ascii="宋体" w:hAnsi="宋体" w:cs="宋体"/>
          <w:b w:val="0"/>
          <w:bCs w:val="0"/>
          <w:color w:val="auto"/>
          <w:sz w:val="24"/>
          <w:szCs w:val="24"/>
          <w:highlight w:val="none"/>
          <w:lang w:val="en-US" w:eastAsia="zh-CN"/>
        </w:rPr>
        <w:t>及</w:t>
      </w:r>
      <w:r>
        <w:rPr>
          <w:rFonts w:hint="eastAsia" w:ascii="Times New Roman" w:hAnsi="Times New Roman" w:eastAsia="宋体" w:cs="Times New Roman"/>
          <w:highlight w:val="none"/>
        </w:rPr>
        <w:t>雄安新区强对流监测预警平台</w:t>
      </w:r>
      <w:r>
        <w:rPr>
          <w:rFonts w:hint="default" w:ascii="宋体" w:hAnsi="宋体" w:cs="宋体"/>
          <w:b w:val="0"/>
          <w:bCs w:val="0"/>
          <w:color w:val="auto"/>
          <w:sz w:val="24"/>
          <w:szCs w:val="24"/>
          <w:highlight w:val="none"/>
          <w:lang w:val="en-US" w:eastAsia="zh-CN"/>
        </w:rPr>
        <w:t>等关键系统，实现统一运维、数据共享和资源优化配置。通过集中运维管理，不仅可以提升系统的稳定性和可靠性，还能增强气象服务的智能化水平和应急响应能力，为新区防灾减灾救灾工作提供强有力的技术支撑，保障新区居民的生命财产安全和经济社会可持续发展。</w:t>
      </w:r>
    </w:p>
    <w:p>
      <w:pPr>
        <w:pStyle w:val="3"/>
        <w:keepNext w:val="0"/>
        <w:keepLines w:val="0"/>
        <w:numPr>
          <w:ilvl w:val="0"/>
          <w:numId w:val="0"/>
        </w:numPr>
        <w:snapToGrid w:val="0"/>
        <w:spacing w:before="0" w:after="0" w:line="360" w:lineRule="auto"/>
        <w:ind w:firstLine="517" w:firstLineChars="198"/>
        <w:jc w:val="both"/>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（二）服务要求</w:t>
      </w:r>
    </w:p>
    <w:p>
      <w:pPr>
        <w:pStyle w:val="2"/>
        <w:numPr>
          <w:ilvl w:val="0"/>
          <w:numId w:val="0"/>
        </w:numPr>
        <w:spacing w:before="0" w:after="0" w:line="240" w:lineRule="auto"/>
        <w:jc w:val="left"/>
        <w:rPr>
          <w:rFonts w:hint="eastAsia" w:asciiTheme="minorEastAsia" w:hAnsiTheme="minorEastAsia" w:eastAsiaTheme="minorEastAsia" w:cstheme="minorEastAsia"/>
          <w:sz w:val="24"/>
          <w:szCs w:val="24"/>
        </w:rPr>
      </w:pPr>
      <w:bookmarkStart w:id="2" w:name="_Toc175153907"/>
      <w:bookmarkStart w:id="3" w:name="_Toc29663"/>
      <w:r>
        <w:rPr>
          <w:rFonts w:hint="eastAsia" w:asciiTheme="minorEastAsia" w:hAnsiTheme="minorEastAsia" w:eastAsiaTheme="minorEastAsia" w:cstheme="minorEastAsia"/>
          <w:b/>
          <w:bCs/>
          <w:kern w:val="44"/>
          <w:sz w:val="24"/>
          <w:szCs w:val="24"/>
          <w:lang w:val="en-US" w:eastAsia="zh-CN" w:bidi="ar-SA"/>
        </w:rPr>
        <w:t>第一部分</w:t>
      </w:r>
      <w:r>
        <w:rPr>
          <w:rFonts w:hint="eastAsia" w:asciiTheme="minorEastAsia" w:hAnsiTheme="minorEastAsia" w:eastAsiaTheme="minorEastAsia" w:cstheme="minorEastAsia"/>
          <w:sz w:val="24"/>
          <w:szCs w:val="24"/>
        </w:rPr>
        <w:t>项目概述</w:t>
      </w:r>
      <w:bookmarkEnd w:id="2"/>
      <w:bookmarkEnd w:id="3"/>
    </w:p>
    <w:p>
      <w:pPr>
        <w:pStyle w:val="3"/>
        <w:pageBreakBefore w:val="0"/>
        <w:widowControl w:val="0"/>
        <w:numPr>
          <w:ilvl w:val="1"/>
          <w:numId w:val="0"/>
        </w:numPr>
        <w:kinsoku/>
        <w:wordWrap/>
        <w:overflowPunct/>
        <w:topLinePunct w:val="0"/>
        <w:autoSpaceDE/>
        <w:autoSpaceDN/>
        <w:bidi w:val="0"/>
        <w:snapToGrid/>
        <w:spacing w:before="0" w:after="0" w:line="360" w:lineRule="auto"/>
        <w:rPr>
          <w:rFonts w:hint="eastAsia" w:asciiTheme="minorEastAsia" w:hAnsiTheme="minorEastAsia" w:eastAsiaTheme="minorEastAsia" w:cstheme="minorEastAsia"/>
          <w:sz w:val="24"/>
          <w:szCs w:val="24"/>
        </w:rPr>
      </w:pPr>
      <w:bookmarkStart w:id="4" w:name="_Toc175153908"/>
      <w:bookmarkStart w:id="5" w:name="_Toc2974"/>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建设背景</w:t>
      </w:r>
      <w:bookmarkEnd w:id="4"/>
      <w:bookmarkEnd w:id="5"/>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目前，雄安新区气象局已初步完成气象灾害防御决策支撑平台、气象大脑</w:t>
      </w:r>
      <w:r>
        <w:rPr>
          <w:rFonts w:hint="eastAsia" w:asciiTheme="minorEastAsia" w:hAnsiTheme="minorEastAsia" w:eastAsiaTheme="minorEastAsia" w:cstheme="minorEastAsia"/>
          <w:sz w:val="24"/>
          <w:szCs w:val="24"/>
          <w:highlight w:val="none"/>
          <w:lang w:val="en-US" w:eastAsia="zh-CN"/>
        </w:rPr>
        <w:t>平台</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气象信息靶向发布和叫应系统、微信公众号、强对流监测预警平台的建设，</w:t>
      </w:r>
      <w:r>
        <w:rPr>
          <w:rFonts w:hint="eastAsia" w:asciiTheme="minorEastAsia" w:hAnsiTheme="minorEastAsia" w:eastAsiaTheme="minorEastAsia" w:cstheme="minorEastAsia"/>
          <w:sz w:val="24"/>
          <w:szCs w:val="24"/>
          <w:highlight w:val="none"/>
        </w:rPr>
        <w:t>气象灾害决策服务的智能化水平有所提升。然而，随着业务规模的扩大和技术要求的提高，现有系统在运行维护管理方面面临诸多挑战。</w:t>
      </w:r>
      <w:r>
        <w:rPr>
          <w:rFonts w:hint="eastAsia" w:asciiTheme="minorEastAsia" w:hAnsiTheme="minorEastAsia" w:eastAsiaTheme="minorEastAsia" w:cstheme="minorEastAsia"/>
          <w:sz w:val="24"/>
          <w:szCs w:val="24"/>
          <w:highlight w:val="none"/>
          <w:lang w:val="en-US" w:eastAsia="zh-CN"/>
        </w:rPr>
        <w:t>各</w:t>
      </w:r>
      <w:r>
        <w:rPr>
          <w:rFonts w:hint="eastAsia" w:asciiTheme="minorEastAsia" w:hAnsiTheme="minorEastAsia" w:eastAsiaTheme="minorEastAsia" w:cstheme="minorEastAsia"/>
          <w:sz w:val="24"/>
          <w:szCs w:val="24"/>
          <w:highlight w:val="none"/>
        </w:rPr>
        <w:t>关键平台和系统尚未实现集中化、一体化的运维管理，存在资源分散、数据孤岛、运维效率低下等问题</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同时</w:t>
      </w:r>
      <w:r>
        <w:rPr>
          <w:rFonts w:hint="eastAsia" w:asciiTheme="minorEastAsia" w:hAnsiTheme="minorEastAsia" w:eastAsiaTheme="minorEastAsia" w:cstheme="minorEastAsia"/>
          <w:sz w:val="24"/>
          <w:szCs w:val="24"/>
          <w:highlight w:val="none"/>
          <w:lang w:val="en-US" w:eastAsia="zh-CN"/>
        </w:rPr>
        <w:t>还</w:t>
      </w:r>
      <w:r>
        <w:rPr>
          <w:rFonts w:hint="eastAsia" w:asciiTheme="minorEastAsia" w:hAnsiTheme="minorEastAsia" w:eastAsiaTheme="minorEastAsia" w:cstheme="minorEastAsia"/>
          <w:sz w:val="24"/>
          <w:szCs w:val="24"/>
          <w:highlight w:val="none"/>
        </w:rPr>
        <w:t>需避免软件系统和数据的重复建设，确保各平台之间的高效协同和数据共享。</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为应对上述挑战，</w:t>
      </w:r>
      <w:bookmarkStart w:id="6" w:name="OLE_LINK4"/>
      <w:r>
        <w:rPr>
          <w:rFonts w:hint="eastAsia" w:asciiTheme="minorEastAsia" w:hAnsiTheme="minorEastAsia" w:eastAsiaTheme="minorEastAsia" w:cstheme="minorEastAsia"/>
          <w:sz w:val="24"/>
          <w:szCs w:val="24"/>
          <w:highlight w:val="none"/>
        </w:rPr>
        <w:t>雄安新区气象局亟需建立集中化的运行维护管理体系，整合气象灾害防御决策支撑平台、气象大脑平台、</w:t>
      </w:r>
      <w:r>
        <w:rPr>
          <w:rFonts w:hint="eastAsia" w:asciiTheme="minorEastAsia" w:hAnsiTheme="minorEastAsia" w:eastAsiaTheme="minorEastAsia" w:cstheme="minorEastAsia"/>
          <w:sz w:val="24"/>
          <w:szCs w:val="24"/>
          <w:highlight w:val="none"/>
          <w:lang w:val="en-US" w:eastAsia="zh-CN"/>
        </w:rPr>
        <w:t>气象信息靶向发布和叫应系统</w:t>
      </w:r>
      <w:r>
        <w:rPr>
          <w:rFonts w:hint="eastAsia" w:asciiTheme="minorEastAsia" w:hAnsiTheme="minorEastAsia" w:eastAsiaTheme="minorEastAsia" w:cstheme="minorEastAsia"/>
          <w:sz w:val="24"/>
          <w:szCs w:val="24"/>
          <w:highlight w:val="none"/>
          <w:lang w:eastAsia="zh-CN"/>
        </w:rPr>
        <w:t>、微信公众号</w:t>
      </w:r>
      <w:r>
        <w:rPr>
          <w:rFonts w:hint="eastAsia" w:asciiTheme="minorEastAsia" w:hAnsiTheme="minorEastAsia" w:eastAsiaTheme="minorEastAsia" w:cstheme="minorEastAsia"/>
          <w:sz w:val="24"/>
          <w:szCs w:val="24"/>
          <w:highlight w:val="none"/>
          <w:lang w:val="en-US" w:eastAsia="zh-CN"/>
        </w:rPr>
        <w:t>及强对流监测预警平台</w:t>
      </w:r>
      <w:r>
        <w:rPr>
          <w:rFonts w:hint="eastAsia" w:asciiTheme="minorEastAsia" w:hAnsiTheme="minorEastAsia" w:eastAsiaTheme="minorEastAsia" w:cstheme="minorEastAsia"/>
          <w:sz w:val="24"/>
          <w:szCs w:val="24"/>
          <w:highlight w:val="none"/>
        </w:rPr>
        <w:t>等关键系统，实现统一运维、数据共享和资源优化配置。通过集中运维管理，不仅可以提升系统的稳定性和可靠性，还能增强气象服务的智能化水平和应急响应能力，为新区防灾减灾救灾工作提供强有力的技术支撑，保障新区居民的生命财产安全和经济社会可持续发展。</w:t>
      </w:r>
    </w:p>
    <w:bookmarkEnd w:id="6"/>
    <w:p>
      <w:pPr>
        <w:pStyle w:val="3"/>
        <w:pageBreakBefore w:val="0"/>
        <w:widowControl w:val="0"/>
        <w:numPr>
          <w:ilvl w:val="1"/>
          <w:numId w:val="0"/>
        </w:numPr>
        <w:kinsoku/>
        <w:wordWrap/>
        <w:overflowPunct/>
        <w:topLinePunct w:val="0"/>
        <w:autoSpaceDE/>
        <w:autoSpaceDN/>
        <w:bidi w:val="0"/>
        <w:snapToGrid/>
        <w:spacing w:before="0" w:after="0" w:line="240" w:lineRule="auto"/>
        <w:ind w:left="0" w:leftChars="0" w:firstLine="0" w:firstLineChars="0"/>
        <w:rPr>
          <w:rFonts w:hint="eastAsia" w:asciiTheme="minorEastAsia" w:hAnsiTheme="minorEastAsia" w:eastAsiaTheme="minorEastAsia" w:cstheme="minorEastAsia"/>
          <w:sz w:val="24"/>
          <w:szCs w:val="24"/>
        </w:rPr>
      </w:pPr>
      <w:bookmarkStart w:id="7" w:name="_Toc15180"/>
      <w:bookmarkStart w:id="8" w:name="_Toc175153909"/>
      <w:r>
        <w:rPr>
          <w:rFonts w:hint="eastAsia" w:asciiTheme="minorEastAsia" w:hAnsiTheme="minorEastAsia" w:eastAsiaTheme="minorEastAsia" w:cstheme="minorEastAsia"/>
          <w:b/>
          <w:bCs/>
          <w:sz w:val="24"/>
          <w:szCs w:val="24"/>
          <w:lang w:val="en-US" w:eastAsia="zh-CN" w:bidi="ar-SA"/>
        </w:rPr>
        <w:t>2.</w:t>
      </w:r>
      <w:r>
        <w:rPr>
          <w:rFonts w:hint="eastAsia" w:asciiTheme="minorEastAsia" w:hAnsiTheme="minorEastAsia" w:eastAsiaTheme="minorEastAsia" w:cstheme="minorEastAsia"/>
          <w:sz w:val="24"/>
          <w:szCs w:val="24"/>
        </w:rPr>
        <w:t>现状分析</w:t>
      </w:r>
      <w:bookmarkEnd w:id="7"/>
      <w:bookmarkEnd w:id="8"/>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雄安新区气象灾害决策支撑平台</w:t>
      </w:r>
      <w:r>
        <w:rPr>
          <w:rFonts w:hint="eastAsia" w:asciiTheme="minorEastAsia" w:hAnsiTheme="minorEastAsia" w:eastAsiaTheme="minorEastAsia" w:cstheme="minorEastAsia"/>
          <w:sz w:val="24"/>
          <w:szCs w:val="24"/>
          <w:lang w:val="en-US" w:eastAsia="zh-CN"/>
        </w:rPr>
        <w:t>已</w:t>
      </w:r>
      <w:r>
        <w:rPr>
          <w:rFonts w:hint="eastAsia" w:asciiTheme="minorEastAsia" w:hAnsiTheme="minorEastAsia" w:eastAsiaTheme="minorEastAsia" w:cstheme="minorEastAsia"/>
          <w:sz w:val="24"/>
          <w:szCs w:val="24"/>
        </w:rPr>
        <w:t>具备系统管理、</w:t>
      </w:r>
      <w:r>
        <w:rPr>
          <w:rFonts w:hint="eastAsia" w:asciiTheme="minorEastAsia" w:hAnsiTheme="minorEastAsia" w:eastAsiaTheme="minorEastAsia" w:cstheme="minorEastAsia"/>
          <w:sz w:val="24"/>
          <w:szCs w:val="24"/>
          <w:lang w:val="en-US" w:eastAsia="zh-CN"/>
        </w:rPr>
        <w:t>基础数据可视化</w:t>
      </w:r>
      <w:r>
        <w:rPr>
          <w:rFonts w:hint="eastAsia" w:asciiTheme="minorEastAsia" w:hAnsiTheme="minorEastAsia" w:eastAsiaTheme="minorEastAsia" w:cstheme="minorEastAsia"/>
          <w:sz w:val="24"/>
          <w:szCs w:val="24"/>
        </w:rPr>
        <w:t>以及灾害性天气监测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气象风险预报</w:t>
      </w:r>
      <w:r>
        <w:rPr>
          <w:rFonts w:hint="eastAsia" w:asciiTheme="minorEastAsia" w:hAnsiTheme="minorEastAsia" w:eastAsiaTheme="minorEastAsia" w:cstheme="minorEastAsia"/>
          <w:sz w:val="24"/>
          <w:szCs w:val="24"/>
        </w:rPr>
        <w:t>等功能；气象大脑</w:t>
      </w:r>
      <w:r>
        <w:rPr>
          <w:rFonts w:hint="eastAsia" w:asciiTheme="minorEastAsia" w:hAnsiTheme="minorEastAsia" w:eastAsiaTheme="minorEastAsia" w:cstheme="minorEastAsia"/>
          <w:sz w:val="24"/>
          <w:szCs w:val="24"/>
          <w:lang w:val="en-US" w:eastAsia="zh-CN"/>
        </w:rPr>
        <w:t>平台</w:t>
      </w:r>
      <w:r>
        <w:rPr>
          <w:rFonts w:hint="eastAsia" w:asciiTheme="minorEastAsia" w:hAnsiTheme="minorEastAsia" w:eastAsiaTheme="minorEastAsia" w:cstheme="minorEastAsia"/>
          <w:sz w:val="24"/>
          <w:szCs w:val="24"/>
        </w:rPr>
        <w:t>基本建设完成，具备数据纳管及平台对接能力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highlight w:val="none"/>
          <w:lang w:val="en-US" w:eastAsia="zh-CN"/>
        </w:rPr>
        <w:t>气象信息靶向发布和叫应系统</w:t>
      </w:r>
      <w:r>
        <w:rPr>
          <w:rFonts w:hint="eastAsia" w:asciiTheme="minorEastAsia" w:hAnsiTheme="minorEastAsia" w:eastAsiaTheme="minorEastAsia" w:cstheme="minorEastAsia"/>
          <w:sz w:val="24"/>
          <w:szCs w:val="24"/>
          <w:lang w:val="en-US" w:eastAsia="zh-CN"/>
        </w:rPr>
        <w:t>提升雄安新区气象信息靶向发布能力，为精细化气象服务提供支撑，同时实现了</w:t>
      </w:r>
      <w:r>
        <w:rPr>
          <w:rFonts w:hint="eastAsia" w:asciiTheme="minorEastAsia" w:hAnsiTheme="minorEastAsia" w:eastAsiaTheme="minorEastAsia" w:cstheme="minorEastAsia"/>
          <w:sz w:val="24"/>
          <w:szCs w:val="24"/>
        </w:rPr>
        <w:t>通过电话呼叫的方式将气象信息通知到相应人员，同时支持接听其他人员的电话呼叫</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微信公众号已搭建基础框架，覆盖雄安新区70%以上政府部门及企事业单位，并实现气象预报预警、气象信息监测；</w:t>
      </w:r>
      <w:r>
        <w:rPr>
          <w:rFonts w:hint="eastAsia" w:asciiTheme="minorEastAsia" w:hAnsiTheme="minorEastAsia" w:eastAsiaTheme="minorEastAsia" w:cstheme="minorEastAsia"/>
          <w:sz w:val="24"/>
          <w:szCs w:val="24"/>
          <w:highlight w:val="none"/>
        </w:rPr>
        <w:t>雄安新区强对流监测预警平台综合运用多波段天气雷达、FY4A静止气象卫星及地面观测站等多源资料，为雄安新区提供强对流监测预警指导产品</w:t>
      </w:r>
      <w:r>
        <w:rPr>
          <w:rFonts w:hint="eastAsia" w:asciiTheme="minorEastAsia" w:hAnsiTheme="minorEastAsia" w:eastAsiaTheme="minorEastAsia" w:cstheme="minorEastAsia"/>
          <w:sz w:val="24"/>
          <w:szCs w:val="24"/>
          <w:lang w:val="en-US" w:eastAsia="zh-CN"/>
        </w:rPr>
        <w:t>。</w:t>
      </w:r>
    </w:p>
    <w:p>
      <w:pPr>
        <w:pageBreakBefore w:val="0"/>
        <w:widowControl w:val="0"/>
        <w:kinsoku/>
        <w:wordWrap/>
        <w:overflowPunct/>
        <w:topLinePunct w:val="0"/>
        <w:autoSpaceDE/>
        <w:autoSpaceDN/>
        <w:bidi w:val="0"/>
        <w:snapToGrid/>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本期需要将雄安新区气象灾害防御决策支撑平台</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气象大脑</w:t>
      </w:r>
      <w:r>
        <w:rPr>
          <w:rFonts w:hint="eastAsia" w:asciiTheme="minorEastAsia" w:hAnsiTheme="minorEastAsia" w:eastAsiaTheme="minorEastAsia" w:cstheme="minorEastAsia"/>
          <w:sz w:val="24"/>
          <w:szCs w:val="24"/>
          <w:highlight w:val="none"/>
          <w:lang w:val="en-US" w:eastAsia="zh-CN"/>
        </w:rPr>
        <w:t>平台、气象信息靶向发布和叫应系统、微信公众号和雄安新区</w:t>
      </w:r>
      <w:r>
        <w:rPr>
          <w:rFonts w:hint="eastAsia" w:asciiTheme="minorEastAsia" w:hAnsiTheme="minorEastAsia" w:eastAsiaTheme="minorEastAsia" w:cstheme="minorEastAsia"/>
          <w:sz w:val="24"/>
          <w:szCs w:val="24"/>
          <w:highlight w:val="none"/>
        </w:rPr>
        <w:t>强对流监测预警平台</w:t>
      </w:r>
      <w:r>
        <w:rPr>
          <w:rFonts w:hint="eastAsia" w:asciiTheme="minorEastAsia" w:hAnsiTheme="minorEastAsia" w:eastAsiaTheme="minorEastAsia" w:cstheme="minorEastAsia"/>
          <w:sz w:val="24"/>
          <w:szCs w:val="24"/>
          <w:highlight w:val="none"/>
          <w:lang w:val="en-US" w:eastAsia="zh-CN"/>
        </w:rPr>
        <w:t>进行集中运行维护管理</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各系统</w:t>
      </w:r>
      <w:r>
        <w:rPr>
          <w:rFonts w:hint="eastAsia" w:asciiTheme="minorEastAsia" w:hAnsiTheme="minorEastAsia" w:eastAsiaTheme="minorEastAsia" w:cstheme="minorEastAsia"/>
          <w:sz w:val="24"/>
          <w:szCs w:val="24"/>
        </w:rPr>
        <w:t>建设现状如下。</w:t>
      </w:r>
    </w:p>
    <w:p>
      <w:pPr>
        <w:pStyle w:val="4"/>
        <w:pageBreakBefore w:val="0"/>
        <w:widowControl w:val="0"/>
        <w:numPr>
          <w:ilvl w:val="2"/>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eastAsia="宋体" w:cstheme="minorEastAsia"/>
          <w:b/>
          <w:bCs/>
          <w:kern w:val="2"/>
          <w:sz w:val="24"/>
          <w:szCs w:val="24"/>
          <w:lang w:val="en-US" w:eastAsia="zh-CN" w:bidi="ar-SA"/>
        </w:rPr>
        <w:t>2</w:t>
      </w:r>
      <w:r>
        <w:rPr>
          <w:rFonts w:hint="eastAsia" w:ascii="Times New Roman" w:hAnsi="Times New Roman" w:eastAsia="宋体" w:cstheme="minorEastAsia"/>
          <w:b/>
          <w:bCs/>
          <w:kern w:val="2"/>
          <w:sz w:val="24"/>
          <w:szCs w:val="24"/>
          <w:lang w:val="en-US" w:eastAsia="zh-CN" w:bidi="ar-SA"/>
        </w:rPr>
        <w:t>.1</w:t>
      </w:r>
      <w:r>
        <w:rPr>
          <w:rFonts w:hint="eastAsia" w:asciiTheme="minorEastAsia" w:hAnsiTheme="minorEastAsia" w:eastAsiaTheme="minorEastAsia" w:cstheme="minorEastAsia"/>
          <w:sz w:val="24"/>
          <w:szCs w:val="24"/>
        </w:rPr>
        <w:t>雄安新区气象灾害防御决策支撑平台建设现状</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雄安新区气象灾害防御决策支撑平台目前</w:t>
      </w:r>
      <w:r>
        <w:rPr>
          <w:rFonts w:hint="eastAsia" w:asciiTheme="minorEastAsia" w:hAnsiTheme="minorEastAsia" w:eastAsiaTheme="minorEastAsia" w:cstheme="minorEastAsia"/>
          <w:sz w:val="24"/>
          <w:szCs w:val="24"/>
          <w:lang w:val="en-US" w:eastAsia="zh-CN"/>
        </w:rPr>
        <w:t>已</w:t>
      </w:r>
      <w:r>
        <w:rPr>
          <w:rFonts w:hint="eastAsia" w:asciiTheme="minorEastAsia" w:hAnsiTheme="minorEastAsia" w:eastAsiaTheme="minorEastAsia" w:cstheme="minorEastAsia"/>
          <w:sz w:val="24"/>
          <w:szCs w:val="24"/>
        </w:rPr>
        <w:t>具备系统管理、</w:t>
      </w:r>
      <w:r>
        <w:rPr>
          <w:rFonts w:hint="eastAsia" w:asciiTheme="minorEastAsia" w:hAnsiTheme="minorEastAsia" w:eastAsiaTheme="minorEastAsia" w:cstheme="minorEastAsia"/>
          <w:sz w:val="24"/>
          <w:szCs w:val="24"/>
          <w:lang w:val="en-US" w:eastAsia="zh-CN"/>
        </w:rPr>
        <w:t>基础数据可视化</w:t>
      </w:r>
      <w:r>
        <w:rPr>
          <w:rFonts w:hint="eastAsia" w:asciiTheme="minorEastAsia" w:hAnsiTheme="minorEastAsia" w:eastAsiaTheme="minorEastAsia" w:cstheme="minorEastAsia"/>
          <w:sz w:val="24"/>
          <w:szCs w:val="24"/>
        </w:rPr>
        <w:t>以及灾害性天气监测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气象风险预报</w:t>
      </w:r>
      <w:r>
        <w:rPr>
          <w:rFonts w:hint="eastAsia" w:asciiTheme="minorEastAsia" w:hAnsiTheme="minorEastAsia" w:eastAsiaTheme="minorEastAsia" w:cstheme="minorEastAsia"/>
          <w:sz w:val="24"/>
          <w:szCs w:val="24"/>
        </w:rPr>
        <w:t>等功能</w:t>
      </w:r>
      <w:r>
        <w:rPr>
          <w:rFonts w:hint="eastAsia" w:asciiTheme="minorEastAsia" w:hAnsiTheme="minorEastAsia" w:eastAsiaTheme="minorEastAsia" w:cstheme="minorEastAsia"/>
          <w:sz w:val="24"/>
          <w:szCs w:val="24"/>
          <w:lang w:eastAsia="zh-CN"/>
        </w:rPr>
        <w:t>。</w:t>
      </w:r>
    </w:p>
    <w:p>
      <w:pPr>
        <w:pStyle w:val="5"/>
        <w:pageBreakBefore w:val="0"/>
        <w:widowControl w:val="0"/>
        <w:numPr>
          <w:ilvl w:val="3"/>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imes New Roman" w:hAnsi="Times New Roman" w:eastAsia="宋体" w:cstheme="minorEastAsia"/>
          <w:b/>
          <w:kern w:val="2"/>
          <w:sz w:val="24"/>
          <w:szCs w:val="24"/>
          <w:lang w:val="en-US" w:eastAsia="zh-CN" w:bidi="ar-SA"/>
        </w:rPr>
        <w:t>2.1.1</w:t>
      </w:r>
      <w:r>
        <w:rPr>
          <w:rFonts w:hint="eastAsia" w:asciiTheme="minorEastAsia" w:hAnsiTheme="minorEastAsia" w:eastAsiaTheme="minorEastAsia" w:cstheme="minorEastAsia"/>
          <w:sz w:val="24"/>
          <w:szCs w:val="24"/>
        </w:rPr>
        <w:t>系统功能</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（1）系统管理</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完成对系统的组织管理、用户管理，实现对用户的权限管理，支持系统账号登录、退出和修改密码。同时实现对系统用户进行分析统计，辅助气象局分析用户对系统的使用情况、在线状态等。</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（2）系统工具栏</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highlight w:val="yellow"/>
          <w:lang w:eastAsia="zh-CN"/>
        </w:rPr>
      </w:pPr>
      <w:r>
        <w:rPr>
          <w:rFonts w:hint="eastAsia" w:asciiTheme="minorEastAsia" w:hAnsiTheme="minorEastAsia" w:eastAsiaTheme="minorEastAsia" w:cstheme="minorEastAsia"/>
          <w:sz w:val="24"/>
          <w:szCs w:val="24"/>
        </w:rPr>
        <w:t>支持地图的放大、还原、缩小等功能，支持用户根据时间段进行数据查询。</w:t>
      </w:r>
      <w:r>
        <w:rPr>
          <w:rFonts w:hint="eastAsia" w:asciiTheme="minorEastAsia" w:hAnsiTheme="minorEastAsia" w:eastAsiaTheme="minorEastAsia" w:cstheme="minorEastAsia"/>
          <w:sz w:val="24"/>
          <w:szCs w:val="24"/>
          <w:highlight w:val="none"/>
        </w:rPr>
        <w:t>提供地图切换按钮，通过点击按钮，可选择叠加对应地图类型</w:t>
      </w:r>
      <w:r>
        <w:rPr>
          <w:rFonts w:hint="eastAsia" w:asciiTheme="minorEastAsia" w:hAnsiTheme="minorEastAsia" w:eastAsiaTheme="minorEastAsia" w:cstheme="minorEastAsia"/>
          <w:sz w:val="24"/>
          <w:szCs w:val="24"/>
          <w:highlight w:val="none"/>
          <w:lang w:eastAsia="zh-CN"/>
        </w:rPr>
        <w:t>。点击定位按钮，支持经纬度、任意地名进行查询定位。</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（3）风雨温等灾害性天气监测</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获取新区内国家站、区域站、生态水文气象站及新区上游联防周边（山西大同、忻州市以及北京房山区）气象监测自动站信息，并在地图上通过点击弹框的方式显示雨、温、风等实况数据，通过对所有监测站分灾种进行超阈值设置，监测数据超出阈值，实现自动站地图打点闪烁提醒。</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基础数据可视化</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通过气象大脑获取雄安新区及周边</w:t>
      </w:r>
      <w:r>
        <w:rPr>
          <w:rFonts w:hint="eastAsia" w:asciiTheme="minorEastAsia" w:hAnsiTheme="minorEastAsia" w:eastAsiaTheme="minorEastAsia" w:cstheme="minorEastAsia"/>
          <w:sz w:val="24"/>
          <w:szCs w:val="24"/>
          <w:highlight w:val="none"/>
          <w:lang w:val="en-US" w:eastAsia="zh-CN"/>
        </w:rPr>
        <w:t>国情</w:t>
      </w:r>
      <w:r>
        <w:rPr>
          <w:rFonts w:hint="eastAsia" w:asciiTheme="minorEastAsia" w:hAnsiTheme="minorEastAsia" w:eastAsiaTheme="minorEastAsia" w:cstheme="minorEastAsia"/>
          <w:sz w:val="24"/>
          <w:szCs w:val="24"/>
          <w:highlight w:val="none"/>
        </w:rPr>
        <w:t>静态数据，包括：人口数量、GDP、玉米/小麦播种面积、房屋建筑面积等国情数据，并在地图中制作网格热力图</w:t>
      </w:r>
      <w:r>
        <w:rPr>
          <w:rFonts w:hint="eastAsia" w:asciiTheme="minorEastAsia" w:hAnsiTheme="minorEastAsia" w:eastAsiaTheme="minorEastAsia" w:cstheme="minorEastAsia"/>
          <w:sz w:val="24"/>
          <w:szCs w:val="24"/>
          <w:highlight w:val="none"/>
          <w:lang w:eastAsia="zh-CN"/>
        </w:rPr>
        <w:t>；调用相关</w:t>
      </w:r>
      <w:r>
        <w:rPr>
          <w:rFonts w:hint="eastAsia" w:asciiTheme="minorEastAsia" w:hAnsiTheme="minorEastAsia" w:eastAsiaTheme="minorEastAsia" w:cstheme="minorEastAsia"/>
          <w:sz w:val="24"/>
          <w:szCs w:val="24"/>
          <w:highlight w:val="none"/>
          <w:lang w:val="en-US" w:eastAsia="zh-CN"/>
        </w:rPr>
        <w:t>普查</w:t>
      </w:r>
      <w:r>
        <w:rPr>
          <w:rFonts w:hint="eastAsia" w:asciiTheme="minorEastAsia" w:hAnsiTheme="minorEastAsia" w:eastAsiaTheme="minorEastAsia" w:cstheme="minorEastAsia"/>
          <w:sz w:val="24"/>
          <w:szCs w:val="24"/>
          <w:highlight w:val="none"/>
          <w:lang w:eastAsia="zh-CN"/>
        </w:rPr>
        <w:t>数据接口，获取大型工程、生命线工程单位、危化单位、政府部门、人员密集场所、高层公共建筑及仓储单位等数据</w:t>
      </w:r>
      <w:r>
        <w:rPr>
          <w:rFonts w:hint="eastAsia" w:asciiTheme="minorEastAsia" w:hAnsiTheme="minorEastAsia" w:eastAsiaTheme="minorEastAsia" w:cstheme="minorEastAsia"/>
          <w:sz w:val="24"/>
          <w:szCs w:val="24"/>
          <w:highlight w:val="none"/>
        </w:rPr>
        <w:t>。支持普查数据按地区、按类别的统计以及详情展示等。勾选任意数据，可在地图上打点并展示地区统计面板，支持数据多选</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点击饼图色块或列表处，可只展示某类基础数据</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通过点击标签的方式查看该基础数据详情</w:t>
      </w:r>
      <w:r>
        <w:rPr>
          <w:rFonts w:hint="eastAsia" w:asciiTheme="minorEastAsia" w:hAnsiTheme="minorEastAsia" w:eastAsiaTheme="minorEastAsia" w:cstheme="minorEastAsia"/>
          <w:sz w:val="24"/>
          <w:szCs w:val="24"/>
          <w:highlight w:val="none"/>
          <w:lang w:eastAsia="zh-CN"/>
        </w:rPr>
        <w:t>。</w:t>
      </w:r>
    </w:p>
    <w:p>
      <w:pPr>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（5）</w:t>
      </w:r>
      <w:r>
        <w:rPr>
          <w:rFonts w:hint="eastAsia" w:asciiTheme="minorEastAsia" w:hAnsiTheme="minorEastAsia" w:eastAsiaTheme="minorEastAsia" w:cstheme="minorEastAsia"/>
          <w:sz w:val="24"/>
          <w:szCs w:val="24"/>
          <w:highlight w:val="none"/>
          <w:lang w:val="en-US" w:eastAsia="zh-CN"/>
        </w:rPr>
        <w:t>预警信号及风险详情</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通过对接第三方接口的方式获取预警信号数据，实现对灾害性天气的实时监测和预警。</w:t>
      </w:r>
      <w:r>
        <w:rPr>
          <w:rFonts w:hint="eastAsia" w:asciiTheme="minorEastAsia" w:hAnsiTheme="minorEastAsia" w:eastAsiaTheme="minorEastAsia" w:cstheme="minorEastAsia"/>
          <w:sz w:val="24"/>
          <w:szCs w:val="24"/>
          <w:highlight w:val="none"/>
          <w:lang w:val="en-US" w:eastAsia="zh-CN"/>
        </w:rPr>
        <w:t>预警信号</w:t>
      </w:r>
      <w:r>
        <w:rPr>
          <w:rFonts w:hint="eastAsia" w:asciiTheme="minorEastAsia" w:hAnsiTheme="minorEastAsia" w:eastAsiaTheme="minorEastAsia" w:cstheme="minorEastAsia"/>
          <w:sz w:val="24"/>
          <w:szCs w:val="24"/>
          <w:highlight w:val="none"/>
        </w:rPr>
        <w:t>模块支持对预警信号进行落图绘制、统计分析、分类筛选。</w:t>
      </w:r>
      <w:r>
        <w:rPr>
          <w:rFonts w:hint="eastAsia" w:asciiTheme="minorEastAsia" w:hAnsiTheme="minorEastAsia" w:eastAsiaTheme="minorEastAsia" w:cstheme="minorEastAsia"/>
          <w:sz w:val="24"/>
          <w:szCs w:val="24"/>
          <w:highlight w:val="none"/>
          <w:lang w:val="en-US" w:eastAsia="zh-CN"/>
        </w:rPr>
        <w:t>风险详情模块</w:t>
      </w:r>
      <w:r>
        <w:rPr>
          <w:rFonts w:hint="eastAsia" w:asciiTheme="minorEastAsia" w:hAnsiTheme="minorEastAsia" w:eastAsiaTheme="minorEastAsia" w:cstheme="minorEastAsia"/>
          <w:sz w:val="24"/>
          <w:szCs w:val="24"/>
          <w:highlight w:val="none"/>
        </w:rPr>
        <w:t>支持对风险监测数据进行影响分析，基于国情数据，分析影响的人口、GDP等数据。</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预警信号落位可控制预警信号的显隐，显示状态下，将预警信息数据进行空间落位，并根据预警类型、预警等级匹配预警信号图标，在地图中以图标方式进行呈现。</w:t>
      </w:r>
      <w:r>
        <w:rPr>
          <w:rFonts w:hint="eastAsia" w:asciiTheme="minorEastAsia" w:hAnsiTheme="minorEastAsia" w:eastAsiaTheme="minorEastAsia" w:cstheme="minorEastAsia"/>
          <w:sz w:val="24"/>
          <w:szCs w:val="24"/>
          <w:highlight w:val="none"/>
          <w:lang w:val="en-US" w:eastAsia="zh-CN"/>
        </w:rPr>
        <w:t>预警信号列表</w:t>
      </w:r>
      <w:r>
        <w:rPr>
          <w:rFonts w:hint="eastAsia" w:asciiTheme="minorEastAsia" w:hAnsiTheme="minorEastAsia" w:eastAsiaTheme="minorEastAsia" w:cstheme="minorEastAsia"/>
          <w:sz w:val="24"/>
          <w:szCs w:val="24"/>
          <w:highlight w:val="none"/>
          <w:lang w:eastAsia="zh-CN"/>
        </w:rPr>
        <w:t>以数据列表的方式在前端页面中展示所有预警信号，并展示其预警图标、预警时间以及预警内容。</w:t>
      </w:r>
      <w:r>
        <w:rPr>
          <w:rFonts w:hint="eastAsia" w:asciiTheme="minorEastAsia" w:hAnsiTheme="minorEastAsia" w:eastAsiaTheme="minorEastAsia" w:cstheme="minorEastAsia"/>
          <w:sz w:val="24"/>
          <w:szCs w:val="24"/>
          <w:highlight w:val="none"/>
          <w:lang w:val="en-US" w:eastAsia="zh-CN"/>
        </w:rPr>
        <w:t>预警信号详情</w:t>
      </w:r>
      <w:r>
        <w:rPr>
          <w:rFonts w:hint="eastAsia" w:asciiTheme="minorEastAsia" w:hAnsiTheme="minorEastAsia" w:eastAsiaTheme="minorEastAsia" w:cstheme="minorEastAsia"/>
          <w:sz w:val="24"/>
          <w:szCs w:val="24"/>
          <w:highlight w:val="none"/>
          <w:lang w:eastAsia="zh-CN"/>
        </w:rPr>
        <w:t>通过在地图中点击预警图标的方式或在预警信号列表中点击数据列表，可在地图中进行定位，并显示其预警详情。</w:t>
      </w:r>
      <w:r>
        <w:rPr>
          <w:rFonts w:hint="eastAsia" w:asciiTheme="minorEastAsia" w:hAnsiTheme="minorEastAsia" w:eastAsiaTheme="minorEastAsia" w:cstheme="minorEastAsia"/>
          <w:sz w:val="24"/>
          <w:szCs w:val="24"/>
          <w:highlight w:val="none"/>
          <w:lang w:val="en-US" w:eastAsia="zh-CN"/>
        </w:rPr>
        <w:t>预警统计</w:t>
      </w:r>
      <w:r>
        <w:rPr>
          <w:rFonts w:hint="eastAsia" w:asciiTheme="minorEastAsia" w:hAnsiTheme="minorEastAsia" w:eastAsiaTheme="minorEastAsia" w:cstheme="minorEastAsia"/>
          <w:sz w:val="24"/>
          <w:szCs w:val="24"/>
          <w:highlight w:val="none"/>
        </w:rPr>
        <w:t>按照省市县三级、预警等级对预警信号进行统计分析，分类统计监测区域内预警信号数量。</w:t>
      </w:r>
      <w:r>
        <w:rPr>
          <w:rFonts w:hint="eastAsia" w:asciiTheme="minorEastAsia" w:hAnsiTheme="minorEastAsia" w:eastAsiaTheme="minorEastAsia" w:cstheme="minorEastAsia"/>
          <w:sz w:val="24"/>
          <w:szCs w:val="24"/>
          <w:highlight w:val="none"/>
          <w:lang w:val="en-US" w:eastAsia="zh-CN"/>
        </w:rPr>
        <w:t>预警筛选</w:t>
      </w:r>
      <w:r>
        <w:rPr>
          <w:rFonts w:hint="eastAsia" w:asciiTheme="minorEastAsia" w:hAnsiTheme="minorEastAsia" w:eastAsiaTheme="minorEastAsia" w:cstheme="minorEastAsia"/>
          <w:sz w:val="24"/>
          <w:szCs w:val="24"/>
          <w:highlight w:val="none"/>
        </w:rPr>
        <w:t>按照预警信号类型，包括暴雨、大风、高温、雷电等，对预警信号进行分类筛选，并将结果在预警信号列表和地图中进行呈现。</w:t>
      </w:r>
    </w:p>
    <w:p>
      <w:pPr>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（6）</w:t>
      </w:r>
      <w:r>
        <w:rPr>
          <w:rFonts w:hint="eastAsia" w:asciiTheme="minorEastAsia" w:hAnsiTheme="minorEastAsia" w:eastAsiaTheme="minorEastAsia" w:cstheme="minorEastAsia"/>
          <w:sz w:val="24"/>
          <w:szCs w:val="24"/>
          <w:highlight w:val="none"/>
          <w:lang w:val="en-US" w:eastAsia="zh-CN"/>
        </w:rPr>
        <w:t>风险监测</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支持对水库、在建工程、城市易积涝点进行实时监测，并对各类监测数据以列表方式进行呈现，支持数据的统计。</w:t>
      </w:r>
      <w:r>
        <w:rPr>
          <w:rFonts w:hint="eastAsia" w:asciiTheme="minorEastAsia" w:hAnsiTheme="minorEastAsia" w:eastAsiaTheme="minorEastAsia" w:cstheme="minorEastAsia"/>
          <w:sz w:val="24"/>
          <w:szCs w:val="24"/>
          <w:highlight w:val="none"/>
        </w:rPr>
        <w:t>根据获取的灾情事件信息，展示过去1个月灾情事件。</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列表统计用于</w:t>
      </w:r>
      <w:r>
        <w:rPr>
          <w:rFonts w:hint="eastAsia" w:asciiTheme="minorEastAsia" w:hAnsiTheme="minorEastAsia" w:eastAsiaTheme="minorEastAsia" w:cstheme="minorEastAsia"/>
          <w:sz w:val="24"/>
          <w:szCs w:val="24"/>
          <w:highlight w:val="none"/>
        </w:rPr>
        <w:t>统计水库、在建工程、城市易积涝点的数量及超阈值数量，其中红色数字代表超阈值数量，绿色数字代表总数。点击水库，展示全部水库列表，并在地图中进行落位，超阈值水库水位会标红；点击水库列表，可查看对应水库详情面板，面板中包括基本信息、气象信息、监测水位等</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点击在建工程，展示在建工程列表，超阈值会标红并在地图打点；点击任意在建工程，查看在建工程详情，并根据预报产品展示其预报时序图。点击城市易积涝点，展示全部城市易积涝点列表，并在地图中进行落位，超阈值城市易积涝点会标红；点击城市易积涝点列表，可查看对应城市易积涝点详情。获取雨温风预报数据，并进行地图落位，绘制雨温风落区图，支持对雨温风预报数据进行影响分析，基于国情数据，分析影响的人口、GDP等数据。</w:t>
      </w:r>
    </w:p>
    <w:p>
      <w:pPr>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（7）</w:t>
      </w:r>
      <w:r>
        <w:rPr>
          <w:rFonts w:hint="eastAsia" w:asciiTheme="minorEastAsia" w:hAnsiTheme="minorEastAsia" w:eastAsiaTheme="minorEastAsia" w:cstheme="minorEastAsia"/>
          <w:sz w:val="24"/>
          <w:szCs w:val="24"/>
          <w:highlight w:val="none"/>
          <w:lang w:val="en-US" w:eastAsia="zh-CN"/>
        </w:rPr>
        <w:t>面雨量可视化</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面雨量数据展示</w:t>
      </w:r>
      <w:r>
        <w:rPr>
          <w:rFonts w:hint="eastAsia" w:asciiTheme="minorEastAsia" w:hAnsiTheme="minorEastAsia" w:eastAsiaTheme="minorEastAsia" w:cstheme="minorEastAsia"/>
          <w:sz w:val="24"/>
          <w:szCs w:val="24"/>
          <w:highlight w:val="none"/>
        </w:rPr>
        <w:t>提供面雨量实况/预报按钮，点击按钮可查看对应的面雨量数据，支持在地图中叠加雨量色斑图数据</w:t>
      </w:r>
      <w:r>
        <w:rPr>
          <w:rFonts w:hint="eastAsia" w:asciiTheme="minorEastAsia" w:hAnsiTheme="minorEastAsia" w:eastAsiaTheme="minorEastAsia" w:cstheme="minorEastAsia"/>
          <w:sz w:val="24"/>
          <w:szCs w:val="24"/>
          <w:highlight w:val="none"/>
          <w:lang w:eastAsia="zh-CN"/>
        </w:rPr>
        <w:t>。预报列</w:t>
      </w:r>
      <w:r>
        <w:rPr>
          <w:rFonts w:hint="eastAsia" w:asciiTheme="minorEastAsia" w:hAnsiTheme="minorEastAsia" w:eastAsiaTheme="minorEastAsia" w:cstheme="minorEastAsia"/>
          <w:sz w:val="24"/>
          <w:szCs w:val="24"/>
          <w:highlight w:val="none"/>
          <w:lang w:val="en-US" w:eastAsia="zh-CN"/>
        </w:rPr>
        <w:t>表展示</w:t>
      </w:r>
      <w:r>
        <w:rPr>
          <w:rFonts w:hint="eastAsia" w:asciiTheme="minorEastAsia" w:hAnsiTheme="minorEastAsia" w:eastAsiaTheme="minorEastAsia" w:cstheme="minorEastAsia"/>
          <w:sz w:val="24"/>
          <w:szCs w:val="24"/>
          <w:highlight w:val="none"/>
          <w:lang w:eastAsia="zh-CN"/>
        </w:rPr>
        <w:t>当前时间未来3天的各流域的面雨量数据列表。实况列表</w:t>
      </w:r>
      <w:r>
        <w:rPr>
          <w:rFonts w:hint="eastAsia" w:asciiTheme="minorEastAsia" w:hAnsiTheme="minorEastAsia" w:eastAsiaTheme="minorEastAsia" w:cstheme="minorEastAsia"/>
          <w:sz w:val="24"/>
          <w:szCs w:val="24"/>
          <w:highlight w:val="none"/>
          <w:lang w:val="en-US" w:eastAsia="zh-CN"/>
        </w:rPr>
        <w:t>展示</w:t>
      </w:r>
      <w:r>
        <w:rPr>
          <w:rFonts w:hint="eastAsia" w:asciiTheme="minorEastAsia" w:hAnsiTheme="minorEastAsia" w:eastAsiaTheme="minorEastAsia" w:cstheme="minorEastAsia"/>
          <w:sz w:val="24"/>
          <w:szCs w:val="24"/>
          <w:highlight w:val="none"/>
          <w:lang w:eastAsia="zh-CN"/>
        </w:rPr>
        <w:t>当前时间过去3天的各流域的面雨量数据列表。</w:t>
      </w:r>
      <w:r>
        <w:rPr>
          <w:rFonts w:hint="eastAsia" w:asciiTheme="minorEastAsia" w:hAnsiTheme="minorEastAsia" w:eastAsiaTheme="minorEastAsia" w:cstheme="minorEastAsia"/>
          <w:sz w:val="24"/>
          <w:szCs w:val="24"/>
          <w:highlight w:val="none"/>
        </w:rPr>
        <w:t>支持列表导出。时间轴选择支持不同时次，查看对应的面雨量数据。</w:t>
      </w:r>
    </w:p>
    <w:p>
      <w:pPr>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（8）</w:t>
      </w:r>
      <w:r>
        <w:rPr>
          <w:rFonts w:hint="eastAsia" w:asciiTheme="minorEastAsia" w:hAnsiTheme="minorEastAsia" w:eastAsiaTheme="minorEastAsia" w:cstheme="minorEastAsia"/>
          <w:sz w:val="24"/>
          <w:szCs w:val="24"/>
          <w:highlight w:val="none"/>
          <w:lang w:val="en-US" w:eastAsia="zh-CN"/>
        </w:rPr>
        <w:t>气象风险预报</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通过气象大脑提供的风险预报预警产品，主要包括中小河流洪水、山洪、内涝、中暑等灾害的气象风险等级预报产品，支持各等级落区的地图展示。</w:t>
      </w:r>
      <w:r>
        <w:rPr>
          <w:rFonts w:hint="eastAsia" w:asciiTheme="minorEastAsia" w:hAnsiTheme="minorEastAsia" w:eastAsiaTheme="minorEastAsia" w:cstheme="minorEastAsia"/>
          <w:sz w:val="24"/>
          <w:szCs w:val="24"/>
          <w:highlight w:val="none"/>
        </w:rPr>
        <w:t>获取中小河流洪水</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山洪、内涝、中暑</w:t>
      </w:r>
      <w:r>
        <w:rPr>
          <w:rFonts w:hint="eastAsia" w:asciiTheme="minorEastAsia" w:hAnsiTheme="minorEastAsia" w:eastAsiaTheme="minorEastAsia" w:cstheme="minorEastAsia"/>
          <w:sz w:val="24"/>
          <w:szCs w:val="24"/>
          <w:highlight w:val="none"/>
        </w:rPr>
        <w:t>气象风险产品过去7天的产品，在页面前端以列表形式呈现，显示风险等级、风险产品名称、时间</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点击风险产品</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以网格热力图的形式在地图中进行绘制</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利用不同颜色表示不同面域的中暑气象风险等级</w:t>
      </w:r>
    </w:p>
    <w:p>
      <w:pPr>
        <w:pStyle w:val="5"/>
        <w:pageBreakBefore w:val="0"/>
        <w:widowControl w:val="0"/>
        <w:numPr>
          <w:ilvl w:val="3"/>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imes New Roman" w:hAnsi="Times New Roman" w:eastAsia="宋体" w:cstheme="minorEastAsia"/>
          <w:b/>
          <w:kern w:val="2"/>
          <w:sz w:val="24"/>
          <w:szCs w:val="24"/>
          <w:lang w:val="en-US" w:eastAsia="zh-CN" w:bidi="ar-SA"/>
        </w:rPr>
        <w:t>2.1.2</w:t>
      </w:r>
      <w:r>
        <w:rPr>
          <w:rFonts w:hint="eastAsia" w:asciiTheme="minorEastAsia" w:hAnsiTheme="minorEastAsia" w:eastAsiaTheme="minorEastAsia" w:cstheme="minorEastAsia"/>
          <w:sz w:val="24"/>
          <w:szCs w:val="24"/>
        </w:rPr>
        <w:t>网络环境</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系统建成后前后端程序全部部署在气象专网中，前后端交互通过接口进行访问。利用网络端口映射方式，将气象专网的前端访问端口在雄安政务网进行映射，供服务用户进行访问。</w:t>
      </w:r>
    </w:p>
    <w:p>
      <w:pPr>
        <w:pStyle w:val="4"/>
        <w:pageBreakBefore w:val="0"/>
        <w:widowControl w:val="0"/>
        <w:numPr>
          <w:ilvl w:val="2"/>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eastAsia="宋体" w:cstheme="minorEastAsia"/>
          <w:b/>
          <w:bCs/>
          <w:kern w:val="2"/>
          <w:sz w:val="24"/>
          <w:szCs w:val="24"/>
          <w:lang w:val="en-US" w:eastAsia="zh-CN" w:bidi="ar-SA"/>
        </w:rPr>
        <w:t>2</w:t>
      </w:r>
      <w:r>
        <w:rPr>
          <w:rFonts w:hint="eastAsia" w:ascii="Times New Roman" w:hAnsi="Times New Roman" w:eastAsia="宋体" w:cstheme="minorEastAsia"/>
          <w:b/>
          <w:bCs/>
          <w:kern w:val="2"/>
          <w:sz w:val="24"/>
          <w:szCs w:val="24"/>
          <w:lang w:val="en-US" w:eastAsia="zh-CN" w:bidi="ar-SA"/>
        </w:rPr>
        <w:t>.2</w:t>
      </w:r>
      <w:r>
        <w:rPr>
          <w:rFonts w:hint="eastAsia" w:asciiTheme="minorEastAsia" w:hAnsiTheme="minorEastAsia" w:eastAsiaTheme="minorEastAsia" w:cstheme="minorEastAsia"/>
          <w:sz w:val="24"/>
          <w:szCs w:val="24"/>
        </w:rPr>
        <w:t>雄安新区气象大脑建设现状</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雄安</w:t>
      </w:r>
      <w:r>
        <w:rPr>
          <w:rFonts w:hint="eastAsia" w:asciiTheme="minorEastAsia" w:hAnsiTheme="minorEastAsia" w:eastAsiaTheme="minorEastAsia" w:cstheme="minorEastAsia"/>
          <w:sz w:val="24"/>
          <w:szCs w:val="24"/>
          <w:lang w:val="en-US" w:eastAsia="zh-CN"/>
        </w:rPr>
        <w:t>新区</w:t>
      </w:r>
      <w:r>
        <w:rPr>
          <w:rFonts w:hint="eastAsia" w:asciiTheme="minorEastAsia" w:hAnsiTheme="minorEastAsia" w:eastAsiaTheme="minorEastAsia" w:cstheme="minorEastAsia"/>
          <w:sz w:val="24"/>
          <w:szCs w:val="24"/>
        </w:rPr>
        <w:t>气象大脑</w:t>
      </w:r>
      <w:r>
        <w:rPr>
          <w:rFonts w:hint="eastAsia" w:asciiTheme="minorEastAsia" w:hAnsiTheme="minorEastAsia" w:eastAsiaTheme="minorEastAsia" w:cstheme="minorEastAsia"/>
          <w:sz w:val="24"/>
          <w:szCs w:val="24"/>
          <w:lang w:val="en-US" w:eastAsia="zh-CN"/>
        </w:rPr>
        <w:t>平台</w:t>
      </w:r>
      <w:r>
        <w:rPr>
          <w:rFonts w:hint="eastAsia" w:asciiTheme="minorEastAsia" w:hAnsiTheme="minorEastAsia" w:eastAsiaTheme="minorEastAsia" w:cstheme="minorEastAsia"/>
          <w:sz w:val="24"/>
          <w:szCs w:val="24"/>
        </w:rPr>
        <w:t>是一套与雄安城市大脑同频共长的智能信息系统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该系统向上连接国省两级天擎，横向与雄安城市大脑互联、互通、互享，高效支撑气象观测、预报、预警、服务和信息保障业务，推进精细气象服务探索发展，为气象科技能力和社会服务现代化奠定基础。目前已完成气象大脑一期、气象大脑二期项目建设，基本具备观测设备智能管理、数据资源管理、多源气象数据交互分析、灾害性天气监测预警、预报服务产品制作、数据交互服务基本功能。</w:t>
      </w:r>
    </w:p>
    <w:p>
      <w:pPr>
        <w:pStyle w:val="5"/>
        <w:pageBreakBefore w:val="0"/>
        <w:widowControl w:val="0"/>
        <w:numPr>
          <w:ilvl w:val="3"/>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imes New Roman" w:hAnsi="Times New Roman" w:eastAsia="宋体" w:cstheme="minorEastAsia"/>
          <w:b/>
          <w:kern w:val="2"/>
          <w:sz w:val="24"/>
          <w:szCs w:val="24"/>
          <w:lang w:val="en-US" w:eastAsia="zh-CN" w:bidi="ar-SA"/>
        </w:rPr>
        <w:t>2.2.1</w:t>
      </w:r>
      <w:r>
        <w:rPr>
          <w:rFonts w:hint="eastAsia" w:asciiTheme="minorEastAsia" w:hAnsiTheme="minorEastAsia" w:eastAsiaTheme="minorEastAsia" w:cstheme="minorEastAsia"/>
          <w:sz w:val="24"/>
          <w:szCs w:val="24"/>
        </w:rPr>
        <w:t>系统功能</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bookmarkStart w:id="9" w:name="OLE_LINK3"/>
      <w:r>
        <w:rPr>
          <w:rFonts w:hint="eastAsia" w:asciiTheme="minorEastAsia" w:hAnsiTheme="minorEastAsia" w:eastAsiaTheme="minorEastAsia" w:cstheme="minorEastAsia"/>
          <w:sz w:val="24"/>
          <w:szCs w:val="24"/>
        </w:rPr>
        <w:t>（1）</w:t>
      </w:r>
      <w:bookmarkEnd w:id="9"/>
      <w:r>
        <w:rPr>
          <w:rFonts w:hint="eastAsia" w:asciiTheme="minorEastAsia" w:hAnsiTheme="minorEastAsia" w:eastAsiaTheme="minorEastAsia" w:cstheme="minorEastAsia"/>
          <w:sz w:val="24"/>
          <w:szCs w:val="24"/>
        </w:rPr>
        <w:t>观测设备智能管理</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支持对雄安新区建设的基准网观测设备以及感知网观测设备等信息进行管理维护，监控设备运行状态，判断设备数据状态，实现对设备健康诊断及派单处理。</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（2）数据资源管理</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对气象观测数据、行业交换数据、视频图片、气象分析和预报数据以及其他行业（如交通站）等数据的实时汇聚、数据存储、文件数据的上传与分发，支持对数据成品、算法状态、接口访问、平台业务流程、大脑运行环境的监控与诊断。</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（3）多源气象数据交互分析</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将各类观测数据进行二次加工，生成站点、格点规格产品，并落位到地理信息数据中，支持反馈异常数据，支持对大气四维产品进行动态展示，实况资料的统计分析，对视频监控数据的查看和控制，对睿图和睿思产品的空间展示分析。</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（4）灾害性天气监测预警</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实现基于地面观测数据、视频图像图数据对灾害性天气进行识别，生成0-24小时预报时效的灾害性天气短临预报产品，并可对灾害性天气进行报警提示，同时支持在GIS地图上绘制灾害落区。</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（5）预报服务产品制作系统</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构建预报一张网，对预报产品进行检验，支持对业务产品建立任务流程，完成业务值班工作，实现产品自动化生成、制作提醒、人工订正、一键发布。研发面向流域服务的水质、水资源耗散影响预报等一体化服务产品。</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（6）数据交互服务</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提供数据接口服务，支持与“综合数据平台”、“天擎”融入对接，开展5G天气消息业务，改进天气信息发布和传播方式。</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系统集成和系统</w:t>
      </w:r>
      <w:r>
        <w:rPr>
          <w:rFonts w:hint="eastAsia" w:asciiTheme="minorEastAsia" w:hAnsiTheme="minorEastAsia" w:eastAsiaTheme="minorEastAsia" w:cstheme="minorEastAsia"/>
          <w:sz w:val="24"/>
          <w:szCs w:val="24"/>
        </w:rPr>
        <w:t>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提供用户管理、权限管理、日志管理、系统配置等功能，实现用户权限控制和具有权限用户配置系统中功能的能力。</w:t>
      </w:r>
    </w:p>
    <w:p>
      <w:pPr>
        <w:pStyle w:val="5"/>
        <w:pageBreakBefore w:val="0"/>
        <w:widowControl w:val="0"/>
        <w:numPr>
          <w:ilvl w:val="3"/>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imes New Roman" w:hAnsi="Times New Roman" w:eastAsia="宋体" w:cstheme="minorEastAsia"/>
          <w:b/>
          <w:kern w:val="2"/>
          <w:sz w:val="24"/>
          <w:szCs w:val="24"/>
          <w:lang w:val="en-US" w:eastAsia="zh-CN" w:bidi="ar-SA"/>
        </w:rPr>
        <w:t>2.2.2</w:t>
      </w:r>
      <w:r>
        <w:rPr>
          <w:rFonts w:hint="eastAsia" w:asciiTheme="minorEastAsia" w:hAnsiTheme="minorEastAsia" w:eastAsiaTheme="minorEastAsia" w:cstheme="minorEastAsia"/>
          <w:sz w:val="24"/>
          <w:szCs w:val="24"/>
        </w:rPr>
        <w:t>网络环境</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雄安</w:t>
      </w:r>
      <w:r>
        <w:rPr>
          <w:rFonts w:hint="eastAsia" w:asciiTheme="minorEastAsia" w:hAnsiTheme="minorEastAsia" w:eastAsiaTheme="minorEastAsia" w:cstheme="minorEastAsia"/>
          <w:sz w:val="24"/>
          <w:szCs w:val="24"/>
          <w:lang w:val="en-US" w:eastAsia="zh-CN"/>
        </w:rPr>
        <w:t>新区</w:t>
      </w:r>
      <w:r>
        <w:rPr>
          <w:rFonts w:hint="eastAsia" w:asciiTheme="minorEastAsia" w:hAnsiTheme="minorEastAsia" w:eastAsiaTheme="minorEastAsia" w:cstheme="minorEastAsia"/>
          <w:sz w:val="24"/>
          <w:szCs w:val="24"/>
        </w:rPr>
        <w:t>气象大脑以雄安城市计算中心为设施支撑，采用云防火墙、漏洞扫描、云堡垒机等安全支撑，纵向上可与省气象、北京气象、天津气象系统网络互通，打通了京津冀气象网络环境，横向上与雄安新区综合数据平台、视频一张网等政务网环境互通，对外可提供政务外网服务。</w:t>
      </w:r>
    </w:p>
    <w:p>
      <w:pPr>
        <w:pStyle w:val="4"/>
        <w:pageBreakBefore w:val="0"/>
        <w:widowControl w:val="0"/>
        <w:numPr>
          <w:ilvl w:val="2"/>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eastAsia="宋体" w:cstheme="minorEastAsia"/>
          <w:b/>
          <w:bCs/>
          <w:kern w:val="2"/>
          <w:sz w:val="24"/>
          <w:szCs w:val="24"/>
          <w:lang w:val="en-US" w:eastAsia="zh-CN" w:bidi="ar-SA"/>
        </w:rPr>
        <w:t>2</w:t>
      </w:r>
      <w:r>
        <w:rPr>
          <w:rFonts w:hint="eastAsia" w:ascii="Times New Roman" w:hAnsi="Times New Roman" w:eastAsia="宋体" w:cstheme="minorEastAsia"/>
          <w:b/>
          <w:bCs/>
          <w:kern w:val="2"/>
          <w:sz w:val="24"/>
          <w:szCs w:val="24"/>
          <w:lang w:val="en-US" w:eastAsia="zh-CN" w:bidi="ar-SA"/>
        </w:rPr>
        <w:t>.3</w:t>
      </w:r>
      <w:r>
        <w:rPr>
          <w:rFonts w:hint="eastAsia" w:asciiTheme="minorEastAsia" w:hAnsiTheme="minorEastAsia" w:eastAsiaTheme="minorEastAsia" w:cstheme="minorEastAsia"/>
          <w:sz w:val="24"/>
          <w:szCs w:val="24"/>
        </w:rPr>
        <w:t>气象信息靶向发布</w:t>
      </w:r>
      <w:r>
        <w:rPr>
          <w:rFonts w:hint="eastAsia" w:asciiTheme="minorEastAsia" w:hAnsiTheme="minorEastAsia" w:eastAsiaTheme="minorEastAsia" w:cstheme="minorEastAsia"/>
          <w:sz w:val="24"/>
          <w:szCs w:val="24"/>
          <w:lang w:val="en-US" w:eastAsia="zh-CN"/>
        </w:rPr>
        <w:t>和叫应</w:t>
      </w:r>
      <w:r>
        <w:rPr>
          <w:rFonts w:hint="eastAsia" w:asciiTheme="minorEastAsia" w:hAnsiTheme="minorEastAsia" w:eastAsiaTheme="minorEastAsia" w:cstheme="minorEastAsia"/>
          <w:sz w:val="24"/>
          <w:szCs w:val="24"/>
        </w:rPr>
        <w:t>系统建设现状</w:t>
      </w:r>
    </w:p>
    <w:p>
      <w:pPr>
        <w:pStyle w:val="5"/>
        <w:pageBreakBefore w:val="0"/>
        <w:widowControl w:val="0"/>
        <w:numPr>
          <w:ilvl w:val="3"/>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imes New Roman" w:hAnsi="Times New Roman" w:eastAsia="宋体" w:cstheme="minorEastAsia"/>
          <w:b/>
          <w:kern w:val="2"/>
          <w:sz w:val="24"/>
          <w:szCs w:val="24"/>
          <w:lang w:val="en-US" w:eastAsia="zh-CN" w:bidi="ar-SA"/>
        </w:rPr>
        <w:t>2.3.1</w:t>
      </w:r>
      <w:r>
        <w:rPr>
          <w:rFonts w:hint="eastAsia" w:asciiTheme="minorEastAsia" w:hAnsiTheme="minorEastAsia" w:eastAsiaTheme="minorEastAsia" w:cstheme="minorEastAsia"/>
          <w:sz w:val="24"/>
          <w:szCs w:val="24"/>
        </w:rPr>
        <w:t>系统功能</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气象信息靶向发布</w:t>
      </w:r>
      <w:r>
        <w:rPr>
          <w:rFonts w:hint="eastAsia" w:asciiTheme="minorEastAsia" w:hAnsiTheme="minorEastAsia" w:eastAsiaTheme="minorEastAsia" w:cstheme="minorEastAsia"/>
          <w:sz w:val="24"/>
          <w:szCs w:val="24"/>
          <w:lang w:val="en-US" w:eastAsia="zh-CN"/>
        </w:rPr>
        <w:t>和叫应</w:t>
      </w:r>
      <w:r>
        <w:rPr>
          <w:rFonts w:hint="eastAsia" w:asciiTheme="minorEastAsia" w:hAnsiTheme="minorEastAsia" w:eastAsiaTheme="minorEastAsia" w:cstheme="minorEastAsia"/>
          <w:sz w:val="24"/>
          <w:szCs w:val="24"/>
        </w:rPr>
        <w:t>系统</w:t>
      </w:r>
      <w:r>
        <w:rPr>
          <w:rFonts w:hint="eastAsia" w:asciiTheme="minorEastAsia" w:hAnsiTheme="minorEastAsia" w:eastAsiaTheme="minorEastAsia" w:cstheme="minorEastAsia"/>
          <w:sz w:val="24"/>
          <w:szCs w:val="24"/>
          <w:lang w:val="en-US" w:eastAsia="zh-CN"/>
        </w:rPr>
        <w:t>分为</w:t>
      </w:r>
      <w:r>
        <w:rPr>
          <w:rFonts w:hint="eastAsia" w:asciiTheme="minorEastAsia" w:hAnsiTheme="minorEastAsia" w:eastAsiaTheme="minorEastAsia" w:cstheme="minorEastAsia"/>
          <w:sz w:val="24"/>
          <w:szCs w:val="24"/>
        </w:rPr>
        <w:t>靶向发布</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靶向</w:t>
      </w:r>
      <w:r>
        <w:rPr>
          <w:rFonts w:hint="eastAsia" w:asciiTheme="minorEastAsia" w:hAnsiTheme="minorEastAsia" w:eastAsiaTheme="minorEastAsia" w:cstheme="minorEastAsia"/>
          <w:sz w:val="24"/>
          <w:szCs w:val="24"/>
          <w:lang w:val="en-US" w:eastAsia="zh-CN"/>
        </w:rPr>
        <w:t>叫应两部分功能。</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靶向发布</w:t>
      </w:r>
      <w:r>
        <w:rPr>
          <w:rFonts w:hint="eastAsia" w:asciiTheme="minorEastAsia" w:hAnsiTheme="minorEastAsia" w:eastAsiaTheme="minorEastAsia" w:cstheme="minorEastAsia"/>
          <w:sz w:val="24"/>
          <w:szCs w:val="24"/>
          <w:lang w:val="en-US" w:eastAsia="zh-CN"/>
        </w:rPr>
        <w:t>功能</w:t>
      </w:r>
      <w:r>
        <w:rPr>
          <w:rFonts w:hint="eastAsia" w:asciiTheme="minorEastAsia" w:hAnsiTheme="minorEastAsia" w:eastAsiaTheme="minorEastAsia" w:cstheme="minorEastAsia"/>
          <w:sz w:val="24"/>
          <w:szCs w:val="24"/>
        </w:rPr>
        <w:t>提升雄安新区气象信息靶向发布能力，为精细化气象服务提供支撑。整合三大运营商基站信息、用户分布热力信息、基础画像信息和发布能力，建立不大于500米的用户网格，实现了基于任意网格、任意画像特征全网用户精准发布能力的接口和审核发布能力模块</w:t>
      </w:r>
      <w:r>
        <w:rPr>
          <w:rFonts w:hint="eastAsia" w:asciiTheme="minorEastAsia" w:hAnsiTheme="minorEastAsia" w:eastAsiaTheme="minorEastAsia" w:cstheme="minorEastAsia"/>
          <w:sz w:val="24"/>
          <w:szCs w:val="24"/>
          <w:lang w:eastAsia="zh-CN"/>
        </w:rPr>
        <w:t>。</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靶向叫应</w:t>
      </w:r>
      <w:r>
        <w:rPr>
          <w:rFonts w:hint="eastAsia" w:asciiTheme="minorEastAsia" w:hAnsiTheme="minorEastAsia" w:eastAsiaTheme="minorEastAsia" w:cstheme="minorEastAsia"/>
          <w:sz w:val="24"/>
          <w:szCs w:val="24"/>
          <w:lang w:val="en-US" w:eastAsia="zh-CN"/>
        </w:rPr>
        <w:t>功能</w:t>
      </w:r>
      <w:r>
        <w:rPr>
          <w:rFonts w:hint="eastAsia" w:asciiTheme="minorEastAsia" w:hAnsiTheme="minorEastAsia" w:eastAsiaTheme="minorEastAsia" w:cstheme="minorEastAsia"/>
          <w:sz w:val="24"/>
          <w:szCs w:val="24"/>
        </w:rPr>
        <w:t>支持通过电话呼叫的方式将气象信息通知到相应人员，同时支持接听其他人员的电话呼叫。</w:t>
      </w:r>
    </w:p>
    <w:p>
      <w:pPr>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sz w:val="24"/>
          <w:szCs w:val="24"/>
        </w:rPr>
        <w:t>电话呼叫方式：</w:t>
      </w:r>
    </w:p>
    <w:p>
      <w:pPr>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拨打电话的方式呼叫被通知人员，被通知人员接听电话后，系统自动播放输入的气象信息，实现气象信息通知功能。输入的气象信息可以是文字形式，也可以是提前录制好的语音文件。系统支持将输入的文字转换成语音通知。</w:t>
      </w:r>
    </w:p>
    <w:p>
      <w:pPr>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sz w:val="24"/>
          <w:szCs w:val="24"/>
        </w:rPr>
        <w:t>电话呼叫确认</w:t>
      </w:r>
    </w:p>
    <w:p>
      <w:pPr>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呼叫确认功能可判断电话呼叫是否通知成功。当被通知人员接通电话，且系统播放气象信息之后，系统会提示被通知人员进行相应的按键操作，如按数字1。若被通知人按提示进行了相应的按键确认，系统视为该通知成功；若被通知人直接挂断则视为该通知失败，为无效通知。系统支持用户设置无效通知的后续操作，例如重新发起通知，直至通知成功，或者重新发起通知，若超过设置的失败次数，则放弃通知。</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电话呼叫详情</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支持查看电话呼叫任务的详细信息，包括查看电话号码、开始时间、呼叫结果、短信结果、呼叫状态、呼叫次数、按键次数、通话时长。</w:t>
      </w:r>
    </w:p>
    <w:p>
      <w:pPr>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（4）</w:t>
      </w:r>
      <w:r>
        <w:rPr>
          <w:rFonts w:hint="eastAsia" w:asciiTheme="minorEastAsia" w:hAnsiTheme="minorEastAsia" w:eastAsiaTheme="minorEastAsia" w:cstheme="minorEastAsia"/>
          <w:sz w:val="24"/>
          <w:szCs w:val="24"/>
        </w:rPr>
        <w:t>历史通话记录</w:t>
      </w:r>
    </w:p>
    <w:p>
      <w:pPr>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支持查看历史通话记录，可以在线播放录音和下载录音。</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通讯录设置</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支持通讯录的新增、删除、编辑，支持导入通讯录，支持对通讯录进行分组。</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电话呼叫设置</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支持对电话呼叫的振铃时长、通知并发数量、通知接入号码、通知分区等进行设置，满足不同场景下气象信息通知的应用需求。</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文本转语音</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支持将输入的文字，转换成人工语音进行电话呼叫通知。工作人员可以将常用的通知信息以文字的形式输入到系统中，系统可将输入的文字自动转化成语音，并通过电话呼叫功能，将气象信息通知给相应人员。</w:t>
      </w:r>
    </w:p>
    <w:p>
      <w:pPr>
        <w:pStyle w:val="5"/>
        <w:pageBreakBefore w:val="0"/>
        <w:widowControl w:val="0"/>
        <w:numPr>
          <w:ilvl w:val="3"/>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imes New Roman" w:hAnsi="Times New Roman" w:eastAsia="宋体" w:cstheme="minorEastAsia"/>
          <w:b/>
          <w:kern w:val="2"/>
          <w:sz w:val="24"/>
          <w:szCs w:val="24"/>
          <w:lang w:val="en-US" w:eastAsia="zh-CN" w:bidi="ar-SA"/>
        </w:rPr>
        <w:t>2.3.2</w:t>
      </w:r>
      <w:r>
        <w:rPr>
          <w:rFonts w:hint="eastAsia" w:asciiTheme="minorEastAsia" w:hAnsiTheme="minorEastAsia" w:eastAsiaTheme="minorEastAsia" w:cstheme="minorEastAsia"/>
          <w:sz w:val="24"/>
          <w:szCs w:val="24"/>
        </w:rPr>
        <w:t>网络环境</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气象信息靶向发布基于雄安云进行部署，应用组件、数据库等服务部署于政务外网区，利用互联网区云主机与三大运营商进行数据交互，由雄安云提供整个云计算环境底层的物理和基础架构安全。数据的对外调用、展示发布授权均依据气象行业相关数据管理规范进行。</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气象信息靶向叫应可安装在硬件服务器或者私有云服务器上，接入到本地的局域网络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外线采用运营商电话专线线路，使用电话中继网关接入，该网关位于公共电话交换网（PSTN）与IP网接口处，完成公共电话、手机与叫应系统的互通，实现在叫应系统里拨打外线电话，完成对外线电话的广播或者通知功能。</w:t>
      </w:r>
    </w:p>
    <w:p>
      <w:pPr>
        <w:pStyle w:val="4"/>
        <w:pageBreakBefore w:val="0"/>
        <w:widowControl w:val="0"/>
        <w:numPr>
          <w:ilvl w:val="2"/>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eastAsia="宋体" w:cstheme="minorEastAsia"/>
          <w:b/>
          <w:bCs/>
          <w:kern w:val="2"/>
          <w:sz w:val="24"/>
          <w:szCs w:val="24"/>
          <w:lang w:val="en-US" w:eastAsia="zh-CN" w:bidi="ar-SA"/>
        </w:rPr>
        <w:t>2</w:t>
      </w:r>
      <w:r>
        <w:rPr>
          <w:rFonts w:hint="eastAsia" w:ascii="Times New Roman" w:hAnsi="Times New Roman" w:eastAsia="宋体" w:cstheme="minorEastAsia"/>
          <w:b/>
          <w:bCs/>
          <w:kern w:val="2"/>
          <w:sz w:val="24"/>
          <w:szCs w:val="24"/>
          <w:lang w:val="en-US" w:eastAsia="zh-CN" w:bidi="ar-SA"/>
        </w:rPr>
        <w:t>.4</w:t>
      </w:r>
      <w:r>
        <w:rPr>
          <w:rFonts w:hint="eastAsia" w:asciiTheme="minorEastAsia" w:hAnsiTheme="minorEastAsia" w:eastAsiaTheme="minorEastAsia" w:cstheme="minorEastAsia"/>
          <w:sz w:val="24"/>
          <w:szCs w:val="24"/>
          <w:lang w:val="en-US" w:eastAsia="zh-CN"/>
        </w:rPr>
        <w:t>微信公众号</w:t>
      </w:r>
      <w:r>
        <w:rPr>
          <w:rFonts w:hint="eastAsia" w:asciiTheme="minorEastAsia" w:hAnsiTheme="minorEastAsia" w:eastAsiaTheme="minorEastAsia" w:cstheme="minorEastAsia"/>
          <w:sz w:val="24"/>
          <w:szCs w:val="24"/>
        </w:rPr>
        <w:t>建设现状</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微信公众号已搭建基础框架，覆盖雄安新区70%以上政府部门及企事业单位，支持微信端、H5网页同步访问，适配移动端与PC端等多平台，并实现气象预报预警、气象信息监测。</w:t>
      </w:r>
    </w:p>
    <w:p>
      <w:pPr>
        <w:pStyle w:val="5"/>
        <w:pageBreakBefore w:val="0"/>
        <w:widowControl w:val="0"/>
        <w:numPr>
          <w:ilvl w:val="3"/>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imes New Roman" w:hAnsi="Times New Roman" w:eastAsia="宋体" w:cstheme="minorEastAsia"/>
          <w:b/>
          <w:kern w:val="2"/>
          <w:sz w:val="24"/>
          <w:szCs w:val="24"/>
          <w:lang w:val="en-US" w:eastAsia="zh-CN" w:bidi="ar-SA"/>
        </w:rPr>
        <w:t>2.4.1</w:t>
      </w:r>
      <w:r>
        <w:rPr>
          <w:rFonts w:hint="eastAsia" w:asciiTheme="minorEastAsia" w:hAnsiTheme="minorEastAsia" w:eastAsiaTheme="minorEastAsia" w:cstheme="minorEastAsia"/>
          <w:sz w:val="24"/>
          <w:szCs w:val="24"/>
        </w:rPr>
        <w:t>系统功能</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预报预警模块</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①</w:t>
      </w:r>
      <w:r>
        <w:rPr>
          <w:rFonts w:hint="eastAsia" w:asciiTheme="minorEastAsia" w:hAnsiTheme="minorEastAsia" w:eastAsiaTheme="minorEastAsia" w:cstheme="minorEastAsia"/>
          <w:sz w:val="24"/>
          <w:szCs w:val="24"/>
        </w:rPr>
        <w:t>逐小时预报</w:t>
      </w:r>
      <w:r>
        <w:rPr>
          <w:rFonts w:hint="eastAsia" w:asciiTheme="minorEastAsia" w:hAnsiTheme="minorEastAsia" w:eastAsiaTheme="minorEastAsia" w:cstheme="minorEastAsia"/>
          <w:sz w:val="24"/>
          <w:szCs w:val="24"/>
          <w:lang w:val="en-US" w:eastAsia="zh-CN"/>
        </w:rPr>
        <w:t>气象大脑数据接口</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数据实时更新。</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②</w:t>
      </w:r>
      <w:r>
        <w:rPr>
          <w:rFonts w:hint="eastAsia" w:asciiTheme="minorEastAsia" w:hAnsiTheme="minorEastAsia" w:eastAsiaTheme="minorEastAsia" w:cstheme="minorEastAsia"/>
          <w:sz w:val="24"/>
          <w:szCs w:val="24"/>
        </w:rPr>
        <w:t>7天逐日预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提供降水概率、风速风向等多维度指标</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③</w:t>
      </w:r>
      <w:r>
        <w:rPr>
          <w:rFonts w:hint="eastAsia" w:asciiTheme="minorEastAsia" w:hAnsiTheme="minorEastAsia" w:eastAsiaTheme="minorEastAsia" w:cstheme="minorEastAsia"/>
          <w:sz w:val="24"/>
          <w:szCs w:val="24"/>
        </w:rPr>
        <w:t>预警信号对接气象局红色/橙色预警API，自动触发微信模板消息+短信推送（分级权限）</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）气象监测模块</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④</w:t>
      </w:r>
      <w:r>
        <w:rPr>
          <w:rFonts w:hint="eastAsia" w:asciiTheme="minorEastAsia" w:hAnsiTheme="minorEastAsia" w:eastAsiaTheme="minorEastAsia" w:cstheme="minorEastAsia"/>
          <w:sz w:val="24"/>
          <w:szCs w:val="24"/>
        </w:rPr>
        <w:t>实况监测地图GIS图层叠加，实时刷新温度、湿度、风速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湿度、能见度</w:t>
      </w:r>
      <w:r>
        <w:rPr>
          <w:rFonts w:hint="eastAsia" w:asciiTheme="minorEastAsia" w:hAnsiTheme="minorEastAsia" w:eastAsiaTheme="minorEastAsia" w:cstheme="minorEastAsia"/>
          <w:sz w:val="24"/>
          <w:szCs w:val="24"/>
        </w:rPr>
        <w:t>等指标，支持历史曲线对比</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⑤</w:t>
      </w:r>
      <w:r>
        <w:rPr>
          <w:rFonts w:hint="eastAsia" w:asciiTheme="minorEastAsia" w:hAnsiTheme="minorEastAsia" w:eastAsiaTheme="minorEastAsia" w:cstheme="minorEastAsia"/>
          <w:sz w:val="24"/>
          <w:szCs w:val="24"/>
        </w:rPr>
        <w:t>流域面雨量多边形法计算面雨量，生成累积雨量热力图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支持当前雨量分析及未来雨量预测</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⑥</w:t>
      </w:r>
      <w:r>
        <w:rPr>
          <w:rFonts w:hint="eastAsia" w:asciiTheme="minorEastAsia" w:hAnsiTheme="minorEastAsia" w:eastAsiaTheme="minorEastAsia" w:cstheme="minorEastAsia"/>
          <w:sz w:val="24"/>
          <w:szCs w:val="24"/>
        </w:rPr>
        <w:t>统计查询自定义时间范围、空间范围数据筛选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提供降水分析、极端值分析、气候志查询，数据查询</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⑦</w:t>
      </w:r>
      <w:r>
        <w:rPr>
          <w:rFonts w:hint="eastAsia" w:asciiTheme="minorEastAsia" w:hAnsiTheme="minorEastAsia" w:eastAsiaTheme="minorEastAsia" w:cstheme="minorEastAsia"/>
          <w:sz w:val="24"/>
          <w:szCs w:val="24"/>
        </w:rPr>
        <w:t>雷达回波S波段雷达动态图渲染，支持回波强度动画播放与历史回溯</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 xml:space="preserve">）决策服务模块 </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⑧</w:t>
      </w:r>
      <w:r>
        <w:rPr>
          <w:rFonts w:hint="eastAsia" w:asciiTheme="minorEastAsia" w:hAnsiTheme="minorEastAsia" w:eastAsiaTheme="minorEastAsia" w:cstheme="minorEastAsia"/>
          <w:sz w:val="24"/>
          <w:szCs w:val="24"/>
          <w:lang w:val="en-US" w:eastAsia="zh-CN"/>
        </w:rPr>
        <w:t>决策报告统计，生成气象专报（含灾害风险评估、应对建议），支持PDF格式下载，在线预览。</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drawing>
          <wp:anchor distT="0" distB="0" distL="114300" distR="114300" simplePos="0" relativeHeight="251659264" behindDoc="0" locked="0" layoutInCell="1" allowOverlap="1">
            <wp:simplePos x="0" y="0"/>
            <wp:positionH relativeFrom="column">
              <wp:posOffset>38100</wp:posOffset>
            </wp:positionH>
            <wp:positionV relativeFrom="paragraph">
              <wp:posOffset>339090</wp:posOffset>
            </wp:positionV>
            <wp:extent cx="5268595" cy="4819650"/>
            <wp:effectExtent l="0" t="0" r="4445" b="11430"/>
            <wp:wrapSquare wrapText="bothSides"/>
            <wp:docPr id="9" name="图片 9" descr="决策支撑平台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决策支撑平台架构图"/>
                    <pic:cNvPicPr>
                      <a:picLocks noChangeAspect="1"/>
                    </pic:cNvPicPr>
                  </pic:nvPicPr>
                  <pic:blipFill>
                    <a:blip r:embed="rId6"/>
                    <a:stretch>
                      <a:fillRect/>
                    </a:stretch>
                  </pic:blipFill>
                  <pic:spPr>
                    <a:xfrm>
                      <a:off x="0" y="0"/>
                      <a:ext cx="5268595" cy="4819650"/>
                    </a:xfrm>
                    <a:prstGeom prst="rect">
                      <a:avLst/>
                    </a:prstGeom>
                  </pic:spPr>
                </pic:pic>
              </a:graphicData>
            </a:graphic>
          </wp:anchor>
        </w:drawing>
      </w:r>
      <w:r>
        <w:rPr>
          <w:rFonts w:hint="eastAsia" w:ascii="Times New Roman" w:hAnsi="Times New Roman" w:eastAsia="宋体" w:cstheme="minorEastAsia"/>
          <w:b/>
          <w:bCs/>
          <w:kern w:val="2"/>
          <w:sz w:val="24"/>
          <w:szCs w:val="24"/>
          <w:lang w:val="en-US" w:eastAsia="zh-CN" w:bidi="ar-SA"/>
        </w:rPr>
        <w:t>2.4.2</w:t>
      </w:r>
      <w:r>
        <w:rPr>
          <w:rFonts w:hint="eastAsia" w:asciiTheme="minorEastAsia" w:hAnsiTheme="minorEastAsia" w:eastAsiaTheme="minorEastAsia" w:cstheme="minorEastAsia"/>
          <w:b/>
          <w:bCs/>
          <w:sz w:val="24"/>
          <w:szCs w:val="24"/>
        </w:rPr>
        <w:t>网络环境</w:t>
      </w:r>
    </w:p>
    <w:p>
      <w:pPr>
        <w:pStyle w:val="4"/>
        <w:pageBreakBefore w:val="0"/>
        <w:widowControl w:val="0"/>
        <w:numPr>
          <w:ilvl w:val="2"/>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highlight w:val="none"/>
        </w:rPr>
      </w:pPr>
      <w:r>
        <w:rPr>
          <w:rFonts w:hint="eastAsia" w:eastAsia="宋体" w:cstheme="minorEastAsia"/>
          <w:b/>
          <w:bCs/>
          <w:kern w:val="2"/>
          <w:sz w:val="24"/>
          <w:szCs w:val="24"/>
          <w:lang w:val="en-US" w:eastAsia="zh-CN" w:bidi="ar-SA"/>
        </w:rPr>
        <w:t>2</w:t>
      </w:r>
      <w:r>
        <w:rPr>
          <w:rFonts w:hint="eastAsia" w:ascii="Times New Roman" w:hAnsi="Times New Roman" w:eastAsia="宋体" w:cstheme="minorEastAsia"/>
          <w:b/>
          <w:bCs/>
          <w:kern w:val="2"/>
          <w:sz w:val="24"/>
          <w:szCs w:val="24"/>
          <w:lang w:val="en-US" w:eastAsia="zh-CN" w:bidi="ar-SA"/>
        </w:rPr>
        <w:t>.5</w:t>
      </w:r>
      <w:r>
        <w:rPr>
          <w:rFonts w:hint="eastAsia" w:asciiTheme="minorEastAsia" w:hAnsiTheme="minorEastAsia" w:eastAsiaTheme="minorEastAsia" w:cstheme="minorEastAsia"/>
          <w:sz w:val="24"/>
          <w:szCs w:val="24"/>
          <w:highlight w:val="none"/>
        </w:rPr>
        <w:t>雄安新区强对流监测预警平台</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雄安新区强对流监测预警平台综合运用多波段天气雷达、FY4A静止气象卫星及地面观测站等多源资料，为雄安新区提供强对流监测预警指导产品；研发雄安新区及周边雷达数据三维组网分析产品，实现对强对流等灾害天气雷达监测二、三维分析显示；通过光流法及深度学习方法，实现雄安新提供高时空分辨率的雷达回波、强降水、雷暴大风预报；建设雄安新区强对流监测预警平台，实现精细化监测和预报产品的实时展示，预报员人工交互作业等功能，提高该区域气象服务能力。</w:t>
      </w:r>
    </w:p>
    <w:p>
      <w:pPr>
        <w:pStyle w:val="5"/>
        <w:pageBreakBefore w:val="0"/>
        <w:widowControl w:val="0"/>
        <w:numPr>
          <w:ilvl w:val="3"/>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highlight w:val="none"/>
        </w:rPr>
      </w:pPr>
      <w:r>
        <w:rPr>
          <w:rFonts w:hint="eastAsia" w:ascii="Times New Roman" w:hAnsi="Times New Roman" w:eastAsia="宋体" w:cstheme="minorEastAsia"/>
          <w:b/>
          <w:kern w:val="2"/>
          <w:sz w:val="24"/>
          <w:szCs w:val="24"/>
          <w:lang w:val="en-US" w:eastAsia="zh-CN" w:bidi="ar-SA"/>
        </w:rPr>
        <w:t>2.5.1</w:t>
      </w:r>
      <w:r>
        <w:rPr>
          <w:rFonts w:hint="eastAsia" w:asciiTheme="minorEastAsia" w:hAnsiTheme="minorEastAsia" w:eastAsiaTheme="minorEastAsia" w:cstheme="minorEastAsia"/>
          <w:sz w:val="24"/>
          <w:szCs w:val="24"/>
          <w:highlight w:val="none"/>
        </w:rPr>
        <w:t>系统功能</w:t>
      </w:r>
    </w:p>
    <w:p>
      <w:pPr>
        <w:pageBreakBefore w:val="0"/>
        <w:widowControl w:val="0"/>
        <w:numPr>
          <w:ilvl w:val="2"/>
          <w:numId w:val="0"/>
        </w:numPr>
        <w:kinsoku/>
        <w:wordWrap/>
        <w:overflowPunct/>
        <w:topLinePunct w:val="0"/>
        <w:autoSpaceDE/>
        <w:autoSpaceDN/>
        <w:bidi w:val="0"/>
        <w:snapToGrid/>
        <w:spacing w:line="360" w:lineRule="auto"/>
        <w:ind w:leftChars="200" w:firstLine="480" w:firstLineChars="200"/>
        <w:outlineLvl w:val="9"/>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（1）</w:t>
      </w:r>
      <w:bookmarkStart w:id="10" w:name="_Toc14141_WPSOffice_Level3"/>
      <w:bookmarkStart w:id="11" w:name="_Toc92812837"/>
      <w:r>
        <w:rPr>
          <w:rFonts w:hint="eastAsia" w:asciiTheme="minorEastAsia" w:hAnsiTheme="minorEastAsia" w:eastAsiaTheme="minorEastAsia" w:cstheme="minorEastAsia"/>
          <w:b w:val="0"/>
          <w:bCs w:val="0"/>
          <w:kern w:val="2"/>
          <w:sz w:val="24"/>
          <w:szCs w:val="24"/>
          <w:highlight w:val="none"/>
          <w:lang w:val="en-US" w:eastAsia="zh-CN" w:bidi="ar-SA"/>
        </w:rPr>
        <w:t>监测模块</w:t>
      </w:r>
      <w:bookmarkEnd w:id="10"/>
      <w:bookmarkEnd w:id="11"/>
    </w:p>
    <w:p>
      <w:pPr>
        <w:pageBreakBefore w:val="0"/>
        <w:widowControl w:val="0"/>
        <w:numPr>
          <w:ilvl w:val="3"/>
          <w:numId w:val="0"/>
        </w:numPr>
        <w:tabs>
          <w:tab w:val="left" w:pos="0"/>
        </w:tabs>
        <w:kinsoku/>
        <w:wordWrap/>
        <w:overflowPunct/>
        <w:topLinePunct w:val="0"/>
        <w:autoSpaceDE/>
        <w:autoSpaceDN/>
        <w:bidi w:val="0"/>
        <w:snapToGrid/>
        <w:spacing w:line="360" w:lineRule="auto"/>
        <w:ind w:leftChars="200" w:firstLine="480" w:firstLineChars="200"/>
        <w:outlineLvl w:val="9"/>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①多波段融合产品展示</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选择多波段融合功能后，在地图上展示多波段融合产品：组合反射率、回波顶高、回波底高、垂直液态水含量、垂直剖面、定量降水估计，通过时间窗口选择不同时次的产品，支持播放、时间轴拖动功能；通过图例管理色块选择，支持分级滤波功能。</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②波段雷达产品展示</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选择S波段组网功能后，在地图上展示S波段组网产品：组合反射率、回波顶高、回波底高、垂直液态水含量、垂直剖面、降水相态识别，通过时间窗口选择不同时次的产品，支持播放功能；通过图例管理色块选择，支持分级滤波功能。</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③波段雷达产品展示</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选择S波段组网功能后，在地图上展示X波段组网产品：组合反射率、回波顶高、回波底高、垂直液态水含量、垂直剖面，通过时间窗口选择不同时次的产品，支持播放功能；通过图例管理色块选择，支持分级滤波功能。</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④卫星反演产品展示功能</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选择卫星反演功能后，在地图上展示卫星反演产品：云分类、云相态、云顶高、雷达回波反演、降水反演、小时累积降水反演、强对流识别追踪，通过时间窗口选择不同时次的产品，支持播放功能。</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⑤地面自动观测产品展示</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选择多波段融合功能后，在右边产品框内有地面自动观测产品：5分钟/10分钟/1小时累积降水、极大风速、2分钟平均风速、10分钟平均风速、气温、气压、露点温度、30分钟/1小时变温、30分钟/1小时变压、闪电，通过时间窗口选择不同时次的产品，在地图上选择不同站点的产品，支持部分产品叠加展示。</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⑥强对流监测产品展示</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选择多波段融合功能后，在右边产品框内有强对流监测产品：冰雹监测、强降水监测、雷暴大风监测，通过时间窗口选择不同时次的产品，支持播放功能，通过鼠标移动支持灾害类型、时间、地点显示。</w:t>
      </w:r>
    </w:p>
    <w:p>
      <w:pPr>
        <w:pageBreakBefore w:val="0"/>
        <w:widowControl w:val="0"/>
        <w:numPr>
          <w:ilvl w:val="2"/>
          <w:numId w:val="0"/>
        </w:numPr>
        <w:kinsoku/>
        <w:wordWrap/>
        <w:overflowPunct/>
        <w:topLinePunct w:val="0"/>
        <w:autoSpaceDE/>
        <w:autoSpaceDN/>
        <w:bidi w:val="0"/>
        <w:snapToGrid/>
        <w:spacing w:line="360" w:lineRule="auto"/>
        <w:ind w:leftChars="200" w:firstLine="480" w:firstLineChars="200"/>
        <w:outlineLvl w:val="9"/>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（2）预报模块</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①雷达回波外推产品展示</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雷达回波外推产品展示功能，主要实现雷达回波外推的可视化展示，包括：格点、色斑图、时序图展示，通过时间窗口选择不同时次的产品。</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②定量降水预测产品展示</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定量降水预测产品展示功能，主要实现定量降水预测的可视化展示，包括：格点、色斑图、时序图展示，通过时间窗口选择不同时次的产品。</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③强降水预报产品展示</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强降水预报产品展示功能，主要实现强降水概率落区预报的可视化展示，包括：格点、色斑图展示，通过时间窗口选择不同时次的产品。</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④冰雹预报产品展示</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冰雹预报产品展示功能，主要实现冰雹概率落区预报的可视化展示，包括：格点、色斑图展示，通过时间窗口选择不同时次的产品，支持播放功能。</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⑤雷暴大风预报产品展示</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雷暴大风预报产品展示功能，主要实现雷暴大风概率落区预报的可视化展示，包括：格点、色斑图展示，通过时间窗口选择不同时次的产品，支持播放功能。</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（3）检验模块</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①定量降水估计检验产品展示</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定量降水估计检验产品展示功能，主要实现定量降水估计检验指标的可视化展示，包括：直方图展示，通过时间窗口选择不同时次的产品，通过校验方式选择单时次或多时次检验。</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②卫星反演雷达回波检验产品展示</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卫星反演雷达回波检验产品展示功能，主要实现卫星反演雷达回波TS/SAL检验指标的可视化展示，包括：直方图展示，通过时间窗口选择不同时次的产品。</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③强降水预报检验产品展示</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bCs w:val="0"/>
          <w:kern w:val="2"/>
          <w:sz w:val="24"/>
          <w:szCs w:val="24"/>
          <w:highlight w:val="none"/>
          <w:lang w:val="en-US" w:eastAsia="zh-CN" w:bidi="ar-SA"/>
        </w:rPr>
        <w:t>强降水预报检验产品展示功能，主要实现强降水预报检验指标的可视化展示，包括：直方图展示，通过时间窗口选择不同时次的产品。</w:t>
      </w:r>
    </w:p>
    <w:p>
      <w:pPr>
        <w:pStyle w:val="5"/>
        <w:pageBreakBefore w:val="0"/>
        <w:widowControl w:val="0"/>
        <w:numPr>
          <w:ilvl w:val="3"/>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highlight w:val="none"/>
        </w:rPr>
      </w:pPr>
      <w:r>
        <w:rPr>
          <w:rFonts w:hint="eastAsia" w:ascii="Times New Roman" w:hAnsi="Times New Roman" w:eastAsia="宋体" w:cstheme="minorEastAsia"/>
          <w:b/>
          <w:kern w:val="2"/>
          <w:sz w:val="24"/>
          <w:szCs w:val="24"/>
          <w:lang w:val="en-US" w:eastAsia="zh-CN" w:bidi="ar-SA"/>
        </w:rPr>
        <w:t>2.5.2</w:t>
      </w:r>
      <w:r>
        <w:rPr>
          <w:rFonts w:hint="eastAsia" w:asciiTheme="minorEastAsia" w:hAnsiTheme="minorEastAsia" w:eastAsiaTheme="minorEastAsia" w:cstheme="minorEastAsia"/>
          <w:sz w:val="24"/>
          <w:szCs w:val="24"/>
          <w:highlight w:val="none"/>
        </w:rPr>
        <w:t>网络环境</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平台基于雄安云气象私有环境建设</w:t>
      </w:r>
      <w:r>
        <w:rPr>
          <w:rFonts w:hint="eastAsia" w:asciiTheme="minorEastAsia" w:hAnsiTheme="minorEastAsia" w:eastAsiaTheme="minorEastAsia" w:cstheme="minorEastAsia"/>
          <w:sz w:val="24"/>
          <w:szCs w:val="24"/>
          <w:highlight w:val="none"/>
        </w:rPr>
        <w:t>，接入到本地的局域网络</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涉及物业和人工智能服务器多台</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实现数据采集、加工、存储等功能</w:t>
      </w:r>
      <w:r>
        <w:rPr>
          <w:rFonts w:hint="eastAsia" w:asciiTheme="minorEastAsia" w:hAnsiTheme="minorEastAsia" w:eastAsiaTheme="minorEastAsia" w:cstheme="minorEastAsia"/>
          <w:sz w:val="24"/>
          <w:szCs w:val="24"/>
          <w:highlight w:val="none"/>
        </w:rPr>
        <w:t>。</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p>
    <w:p>
      <w:pPr>
        <w:pStyle w:val="2"/>
        <w:pageBreakBefore w:val="0"/>
        <w:widowControl w:val="0"/>
        <w:numPr>
          <w:ilvl w:val="0"/>
          <w:numId w:val="0"/>
        </w:numPr>
        <w:kinsoku/>
        <w:wordWrap/>
        <w:overflowPunct/>
        <w:topLinePunct w:val="0"/>
        <w:autoSpaceDE/>
        <w:autoSpaceDN/>
        <w:bidi w:val="0"/>
        <w:snapToGrid/>
        <w:spacing w:before="0" w:after="0" w:line="360" w:lineRule="auto"/>
        <w:ind w:left="0" w:leftChars="0" w:firstLine="241" w:firstLineChars="100"/>
        <w:jc w:val="both"/>
        <w:rPr>
          <w:rFonts w:hint="eastAsia" w:asciiTheme="minorEastAsia" w:hAnsiTheme="minorEastAsia" w:eastAsiaTheme="minorEastAsia" w:cstheme="minorEastAsia"/>
          <w:sz w:val="24"/>
          <w:szCs w:val="24"/>
        </w:rPr>
      </w:pPr>
      <w:bookmarkStart w:id="12" w:name="_Toc175569566"/>
      <w:bookmarkEnd w:id="12"/>
      <w:bookmarkStart w:id="13" w:name="_Toc22919"/>
      <w:r>
        <w:rPr>
          <w:rFonts w:hint="eastAsia" w:asciiTheme="minorEastAsia" w:hAnsiTheme="minorEastAsia" w:eastAsiaTheme="minorEastAsia" w:cstheme="minorEastAsia"/>
          <w:b/>
          <w:bCs/>
          <w:kern w:val="44"/>
          <w:sz w:val="24"/>
          <w:szCs w:val="24"/>
          <w:lang w:val="en-US" w:eastAsia="zh-CN" w:bidi="ar-SA"/>
        </w:rPr>
        <w:t>第二部分</w:t>
      </w:r>
      <w:r>
        <w:rPr>
          <w:rFonts w:hint="eastAsia" w:asciiTheme="minorEastAsia" w:hAnsiTheme="minorEastAsia" w:eastAsiaTheme="minorEastAsia" w:cstheme="minorEastAsia"/>
          <w:sz w:val="24"/>
          <w:szCs w:val="24"/>
        </w:rPr>
        <w:t>系统维护方案</w:t>
      </w:r>
      <w:bookmarkEnd w:id="13"/>
    </w:p>
    <w:p>
      <w:pPr>
        <w:pStyle w:val="3"/>
        <w:pageBreakBefore w:val="0"/>
        <w:widowControl w:val="0"/>
        <w:numPr>
          <w:ilvl w:val="1"/>
          <w:numId w:val="0"/>
        </w:numPr>
        <w:kinsoku/>
        <w:wordWrap/>
        <w:overflowPunct/>
        <w:topLinePunct w:val="0"/>
        <w:autoSpaceDE/>
        <w:autoSpaceDN/>
        <w:bidi w:val="0"/>
        <w:snapToGrid/>
        <w:spacing w:before="0" w:after="0" w:line="360" w:lineRule="auto"/>
        <w:ind w:left="0" w:leftChars="0" w:firstLine="0" w:firstLineChars="0"/>
        <w:rPr>
          <w:rFonts w:hint="eastAsia" w:asciiTheme="minorEastAsia" w:hAnsiTheme="minorEastAsia" w:eastAsiaTheme="minorEastAsia" w:cstheme="minorEastAsia"/>
          <w:sz w:val="24"/>
          <w:szCs w:val="24"/>
          <w:highlight w:val="none"/>
        </w:rPr>
      </w:pPr>
      <w:bookmarkStart w:id="14" w:name="_Toc2323"/>
      <w:r>
        <w:rPr>
          <w:rFonts w:hint="eastAsia" w:asciiTheme="minorEastAsia" w:hAnsiTheme="minorEastAsia" w:eastAsiaTheme="minorEastAsia" w:cstheme="minorEastAsia"/>
          <w:b/>
          <w:bCs/>
          <w:sz w:val="24"/>
          <w:szCs w:val="24"/>
          <w:lang w:val="en-US" w:eastAsia="zh-CN" w:bidi="ar-SA"/>
        </w:rPr>
        <w:t>1.</w:t>
      </w:r>
      <w:r>
        <w:rPr>
          <w:rFonts w:hint="eastAsia" w:asciiTheme="minorEastAsia" w:hAnsiTheme="minorEastAsia" w:eastAsiaTheme="minorEastAsia" w:cstheme="minorEastAsia"/>
          <w:sz w:val="24"/>
          <w:szCs w:val="24"/>
          <w:highlight w:val="none"/>
        </w:rPr>
        <w:t>维护服务内容</w:t>
      </w:r>
      <w:bookmarkEnd w:id="14"/>
    </w:p>
    <w:p>
      <w:pPr>
        <w:pStyle w:val="4"/>
        <w:pageBreakBefore w:val="0"/>
        <w:widowControl w:val="0"/>
        <w:numPr>
          <w:ilvl w:val="2"/>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lang w:val="en-US" w:eastAsia="zh-CN"/>
        </w:rPr>
      </w:pPr>
      <w:r>
        <w:rPr>
          <w:rFonts w:hint="eastAsia" w:ascii="Times New Roman" w:hAnsi="Times New Roman" w:eastAsia="宋体" w:cstheme="minorEastAsia"/>
          <w:b/>
          <w:bCs/>
          <w:kern w:val="2"/>
          <w:sz w:val="24"/>
          <w:szCs w:val="24"/>
          <w:lang w:val="en-US" w:eastAsia="zh-CN" w:bidi="ar-SA"/>
        </w:rPr>
        <w:t>1.</w:t>
      </w:r>
      <w:r>
        <w:rPr>
          <w:rFonts w:hint="eastAsia" w:eastAsia="宋体" w:cstheme="minorEastAsia"/>
          <w:b/>
          <w:bCs/>
          <w:kern w:val="2"/>
          <w:sz w:val="24"/>
          <w:szCs w:val="24"/>
          <w:lang w:val="en-US" w:eastAsia="zh-CN" w:bidi="ar-SA"/>
        </w:rPr>
        <w:t>1</w:t>
      </w:r>
      <w:r>
        <w:rPr>
          <w:rFonts w:hint="eastAsia" w:asciiTheme="minorEastAsia" w:hAnsiTheme="minorEastAsia" w:eastAsiaTheme="minorEastAsia" w:cstheme="minorEastAsia"/>
          <w:sz w:val="24"/>
          <w:szCs w:val="24"/>
          <w:lang w:val="en-US" w:eastAsia="zh-CN"/>
        </w:rPr>
        <w:t>集中运维服务</w:t>
      </w:r>
    </w:p>
    <w:p>
      <w:pPr>
        <w:pStyle w:val="5"/>
        <w:pageBreakBefore w:val="0"/>
        <w:widowControl w:val="0"/>
        <w:numPr>
          <w:ilvl w:val="3"/>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imes New Roman" w:hAnsi="Times New Roman" w:eastAsia="宋体" w:cstheme="minorEastAsia"/>
          <w:b/>
          <w:kern w:val="2"/>
          <w:sz w:val="24"/>
          <w:szCs w:val="24"/>
          <w:lang w:val="en-US" w:eastAsia="zh-CN" w:bidi="ar-SA"/>
        </w:rPr>
        <w:t>1.1.1</w:t>
      </w:r>
      <w:r>
        <w:rPr>
          <w:rFonts w:hint="eastAsia" w:asciiTheme="minorEastAsia" w:hAnsiTheme="minorEastAsia" w:eastAsiaTheme="minorEastAsia" w:cstheme="minorEastAsia"/>
          <w:sz w:val="24"/>
          <w:szCs w:val="24"/>
        </w:rPr>
        <w:t>定期巡检服务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维护人员充分了解雄安新区气象灾害防御决策支撑平台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雄安新区气象大脑、</w:t>
      </w:r>
      <w:r>
        <w:rPr>
          <w:rFonts w:hint="eastAsia" w:asciiTheme="minorEastAsia" w:hAnsiTheme="minorEastAsia" w:eastAsiaTheme="minorEastAsia" w:cstheme="minorEastAsia"/>
          <w:sz w:val="24"/>
          <w:szCs w:val="24"/>
          <w:highlight w:val="none"/>
          <w:lang w:val="en-US" w:eastAsia="zh-CN"/>
        </w:rPr>
        <w:t>气象信息靶向发布和叫应系统</w:t>
      </w:r>
      <w:r>
        <w:rPr>
          <w:rFonts w:hint="eastAsia" w:asciiTheme="minorEastAsia" w:hAnsiTheme="minorEastAsia" w:eastAsiaTheme="minorEastAsia" w:cstheme="minorEastAsia"/>
          <w:sz w:val="24"/>
          <w:szCs w:val="24"/>
          <w:lang w:val="en-US" w:eastAsia="zh-CN"/>
        </w:rPr>
        <w:t>接口、微信公众号</w:t>
      </w:r>
      <w:r>
        <w:rPr>
          <w:rFonts w:hint="eastAsia" w:asciiTheme="minorEastAsia" w:hAnsiTheme="minorEastAsia" w:eastAsiaTheme="minorEastAsia" w:cstheme="minorEastAsia"/>
          <w:sz w:val="24"/>
          <w:szCs w:val="24"/>
          <w:highlight w:val="none"/>
          <w:lang w:val="en-US" w:eastAsia="zh-CN"/>
        </w:rPr>
        <w:t>和雄安新区强对流监测预警平台等</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val="en-US" w:eastAsia="zh-CN"/>
        </w:rPr>
        <w:t>各业务系统</w:t>
      </w:r>
      <w:r>
        <w:rPr>
          <w:rFonts w:hint="eastAsia" w:asciiTheme="minorEastAsia" w:hAnsiTheme="minorEastAsia" w:eastAsiaTheme="minorEastAsia" w:cstheme="minorEastAsia"/>
          <w:sz w:val="24"/>
          <w:szCs w:val="24"/>
        </w:rPr>
        <w:t>提供定期、主动的综合性巡检服务，对平台的运行情况、后台日志、数据链路进行巡检</w:t>
      </w:r>
      <w:r>
        <w:rPr>
          <w:rFonts w:hint="eastAsia" w:asciiTheme="minorEastAsia" w:hAnsiTheme="minorEastAsia" w:eastAsiaTheme="minorEastAsia" w:cstheme="minorEastAsia"/>
          <w:sz w:val="24"/>
          <w:szCs w:val="24"/>
          <w:lang w:eastAsia="zh-CN"/>
        </w:rPr>
        <w:t>，按周形成巡检报告。</w:t>
      </w:r>
    </w:p>
    <w:p>
      <w:pPr>
        <w:pStyle w:val="5"/>
        <w:pageBreakBefore w:val="0"/>
        <w:widowControl w:val="0"/>
        <w:numPr>
          <w:ilvl w:val="3"/>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imes New Roman" w:hAnsi="Times New Roman" w:eastAsia="宋体" w:cstheme="minorEastAsia"/>
          <w:b/>
          <w:kern w:val="2"/>
          <w:sz w:val="24"/>
          <w:szCs w:val="24"/>
          <w:lang w:val="en-US" w:eastAsia="zh-CN" w:bidi="ar-SA"/>
        </w:rPr>
        <w:t>1.1.2</w:t>
      </w:r>
      <w:r>
        <w:rPr>
          <w:rFonts w:hint="eastAsia" w:asciiTheme="minorEastAsia" w:hAnsiTheme="minorEastAsia" w:eastAsiaTheme="minorEastAsia" w:cstheme="minorEastAsia"/>
          <w:sz w:val="24"/>
          <w:szCs w:val="24"/>
        </w:rPr>
        <w:t>基础</w:t>
      </w:r>
      <w:r>
        <w:rPr>
          <w:rFonts w:hint="eastAsia" w:asciiTheme="minorEastAsia" w:hAnsiTheme="minorEastAsia" w:eastAsiaTheme="minorEastAsia" w:cstheme="minorEastAsia"/>
          <w:sz w:val="24"/>
          <w:szCs w:val="24"/>
          <w:lang w:val="en-US" w:eastAsia="zh-CN"/>
        </w:rPr>
        <w:t>安全</w:t>
      </w:r>
      <w:r>
        <w:rPr>
          <w:rFonts w:hint="eastAsia" w:asciiTheme="minorEastAsia" w:hAnsiTheme="minorEastAsia" w:eastAsiaTheme="minorEastAsia" w:cstheme="minorEastAsia"/>
          <w:sz w:val="24"/>
          <w:szCs w:val="24"/>
        </w:rPr>
        <w:t>维护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维护人员对雄安新区气象灾害防御决策支撑平台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雄安新区气象大脑、气象信息靶向发布和叫应系统接口、微信公众号</w:t>
      </w:r>
      <w:r>
        <w:rPr>
          <w:rFonts w:hint="eastAsia" w:asciiTheme="minorEastAsia" w:hAnsiTheme="minorEastAsia" w:eastAsiaTheme="minorEastAsia" w:cstheme="minorEastAsia"/>
          <w:sz w:val="24"/>
          <w:szCs w:val="24"/>
          <w:highlight w:val="none"/>
          <w:lang w:val="en-US" w:eastAsia="zh-CN"/>
        </w:rPr>
        <w:t>和雄安新区强对流监测预警平台</w:t>
      </w:r>
      <w:r>
        <w:rPr>
          <w:rFonts w:hint="eastAsia" w:asciiTheme="minorEastAsia" w:hAnsiTheme="minorEastAsia" w:eastAsiaTheme="minorEastAsia" w:cstheme="minorEastAsia"/>
          <w:sz w:val="24"/>
          <w:szCs w:val="24"/>
        </w:rPr>
        <w:t>的云服务器、数据库、应用程序等更新情况进行定期监测，及时安装安全补丁和功能更新，以修复已知的安全漏洞和缺陷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保障系统基础运行平稳、安全</w:t>
      </w:r>
      <w:r>
        <w:rPr>
          <w:rFonts w:hint="eastAsia" w:asciiTheme="minorEastAsia" w:hAnsiTheme="minorEastAsia" w:eastAsiaTheme="minorEastAsia" w:cstheme="minorEastAsia"/>
          <w:sz w:val="24"/>
          <w:szCs w:val="24"/>
        </w:rPr>
        <w:t>。</w:t>
      </w:r>
    </w:p>
    <w:p>
      <w:pPr>
        <w:pStyle w:val="5"/>
        <w:pageBreakBefore w:val="0"/>
        <w:widowControl w:val="0"/>
        <w:numPr>
          <w:ilvl w:val="3"/>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imes New Roman" w:hAnsi="Times New Roman" w:eastAsia="宋体" w:cstheme="minorEastAsia"/>
          <w:b/>
          <w:kern w:val="2"/>
          <w:sz w:val="24"/>
          <w:szCs w:val="24"/>
          <w:lang w:val="en-US" w:eastAsia="zh-CN" w:bidi="ar-SA"/>
        </w:rPr>
        <w:t>1.1.3</w:t>
      </w:r>
      <w:r>
        <w:rPr>
          <w:rFonts w:hint="eastAsia" w:asciiTheme="minorEastAsia" w:hAnsiTheme="minorEastAsia" w:eastAsiaTheme="minorEastAsia" w:cstheme="minorEastAsia"/>
          <w:sz w:val="24"/>
          <w:szCs w:val="24"/>
        </w:rPr>
        <w:t>系统运维监控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监测服务器资源、网络等使用情况，出现资源预警时及时清理或者扩容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明确值班需求，安排值班表，对系统性能、系统日志、系统故障、用户使用情况进行监控，若发现</w:t>
      </w:r>
      <w:r>
        <w:rPr>
          <w:rFonts w:hint="eastAsia" w:asciiTheme="minorEastAsia" w:hAnsiTheme="minorEastAsia" w:eastAsiaTheme="minorEastAsia" w:cstheme="minorEastAsia"/>
          <w:sz w:val="24"/>
          <w:szCs w:val="24"/>
          <w:lang w:val="en-US" w:eastAsia="zh-CN"/>
        </w:rPr>
        <w:t>系统出现</w:t>
      </w:r>
      <w:r>
        <w:rPr>
          <w:rFonts w:hint="eastAsia" w:asciiTheme="minorEastAsia" w:hAnsiTheme="minorEastAsia" w:eastAsiaTheme="minorEastAsia" w:cstheme="minorEastAsia"/>
          <w:sz w:val="24"/>
          <w:szCs w:val="24"/>
        </w:rPr>
        <w:t>异常、故障等情况，及时分析、排查、处置，</w:t>
      </w:r>
      <w:r>
        <w:rPr>
          <w:rFonts w:hint="eastAsia" w:asciiTheme="minorEastAsia" w:hAnsiTheme="minorEastAsia" w:eastAsiaTheme="minorEastAsia" w:cstheme="minorEastAsia"/>
          <w:sz w:val="24"/>
          <w:szCs w:val="24"/>
          <w:lang w:val="en-US" w:eastAsia="zh-CN"/>
        </w:rPr>
        <w:t>并</w:t>
      </w:r>
      <w:r>
        <w:rPr>
          <w:rFonts w:hint="eastAsia" w:asciiTheme="minorEastAsia" w:hAnsiTheme="minorEastAsia" w:eastAsiaTheme="minorEastAsia" w:cstheme="minorEastAsia"/>
          <w:sz w:val="24"/>
          <w:szCs w:val="24"/>
        </w:rPr>
        <w:t>按月形成监控报告。</w:t>
      </w:r>
    </w:p>
    <w:p>
      <w:pPr>
        <w:pStyle w:val="5"/>
        <w:pageBreakBefore w:val="0"/>
        <w:widowControl w:val="0"/>
        <w:numPr>
          <w:ilvl w:val="3"/>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imes New Roman" w:hAnsi="Times New Roman" w:eastAsia="宋体" w:cstheme="minorEastAsia"/>
          <w:b/>
          <w:kern w:val="2"/>
          <w:sz w:val="24"/>
          <w:szCs w:val="24"/>
          <w:lang w:val="en-US" w:eastAsia="zh-CN" w:bidi="ar-SA"/>
        </w:rPr>
        <w:t>1.1.4</w:t>
      </w:r>
      <w:r>
        <w:rPr>
          <w:rFonts w:hint="eastAsia" w:asciiTheme="minorEastAsia" w:hAnsiTheme="minorEastAsia" w:eastAsiaTheme="minorEastAsia" w:cstheme="minorEastAsia"/>
          <w:sz w:val="24"/>
          <w:szCs w:val="24"/>
          <w:lang w:val="en-US" w:eastAsia="zh-CN"/>
        </w:rPr>
        <w:t>故障</w:t>
      </w:r>
      <w:r>
        <w:rPr>
          <w:rFonts w:hint="eastAsia" w:asciiTheme="minorEastAsia" w:hAnsiTheme="minorEastAsia" w:eastAsiaTheme="minorEastAsia" w:cstheme="minorEastAsia"/>
          <w:sz w:val="24"/>
          <w:szCs w:val="24"/>
        </w:rPr>
        <w:t>处理</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维护人员深入了解</w:t>
      </w:r>
      <w:r>
        <w:rPr>
          <w:rFonts w:hint="eastAsia" w:asciiTheme="minorEastAsia" w:hAnsiTheme="minorEastAsia" w:eastAsiaTheme="minorEastAsia" w:cstheme="minorEastAsia"/>
          <w:sz w:val="24"/>
          <w:szCs w:val="24"/>
          <w:lang w:val="en-US" w:eastAsia="zh-CN"/>
        </w:rPr>
        <w:t>平台</w:t>
      </w:r>
      <w:r>
        <w:rPr>
          <w:rFonts w:hint="eastAsia" w:asciiTheme="minorEastAsia" w:hAnsiTheme="minorEastAsia" w:eastAsiaTheme="minorEastAsia" w:cstheme="minorEastAsia"/>
          <w:sz w:val="24"/>
          <w:szCs w:val="24"/>
        </w:rPr>
        <w:t>前后端相关服务、根据平台业务需求，当遭遇平台故障造成平台无法运行时，负责及时使用系统恢复技术，根据业务需求在规定的时间内对操作系统、应用程序及配置文件、数据库及数据进行快速恢复。</w:t>
      </w:r>
    </w:p>
    <w:p>
      <w:pPr>
        <w:pStyle w:val="5"/>
        <w:pageBreakBefore w:val="0"/>
        <w:widowControl w:val="0"/>
        <w:numPr>
          <w:ilvl w:val="3"/>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imes New Roman" w:hAnsi="Times New Roman" w:eastAsia="宋体" w:cstheme="minorEastAsia"/>
          <w:b/>
          <w:kern w:val="2"/>
          <w:sz w:val="24"/>
          <w:szCs w:val="24"/>
          <w:lang w:val="en-US" w:eastAsia="zh-CN" w:bidi="ar-SA"/>
        </w:rPr>
        <w:t>1.1.5</w:t>
      </w:r>
      <w:r>
        <w:rPr>
          <w:rFonts w:hint="eastAsia" w:asciiTheme="minorEastAsia" w:hAnsiTheme="minorEastAsia" w:eastAsiaTheme="minorEastAsia" w:cstheme="minorEastAsia"/>
          <w:sz w:val="24"/>
          <w:szCs w:val="24"/>
        </w:rPr>
        <w:t>重大活动保障</w:t>
      </w:r>
    </w:p>
    <w:p>
      <w:pPr>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维护人员负责在重要节假日比如每年的建党日、国庆节等，以及重大活动组织期间，响应新区的重大保障需求，对雄安新区气象灾害防御决策支撑平台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雄安新区气象大脑、气象信息靶向发布和叫应系统接口和微信公众号</w:t>
      </w:r>
      <w:r>
        <w:rPr>
          <w:rFonts w:hint="eastAsia" w:asciiTheme="minorEastAsia" w:hAnsiTheme="minorEastAsia" w:eastAsiaTheme="minorEastAsia" w:cstheme="minorEastAsia"/>
          <w:sz w:val="24"/>
          <w:szCs w:val="24"/>
        </w:rPr>
        <w:t>进行现场安全值守和保障。</w:t>
      </w:r>
    </w:p>
    <w:p>
      <w:pPr>
        <w:pStyle w:val="5"/>
        <w:pageBreakBefore w:val="0"/>
        <w:widowControl w:val="0"/>
        <w:numPr>
          <w:ilvl w:val="3"/>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imes New Roman" w:hAnsi="Times New Roman" w:eastAsia="宋体" w:cstheme="minorEastAsia"/>
          <w:b/>
          <w:kern w:val="2"/>
          <w:sz w:val="24"/>
          <w:szCs w:val="24"/>
          <w:lang w:val="en-US" w:eastAsia="zh-CN" w:bidi="ar-SA"/>
        </w:rPr>
        <w:t>1.1.6</w:t>
      </w:r>
      <w:r>
        <w:rPr>
          <w:rFonts w:hint="eastAsia" w:asciiTheme="minorEastAsia" w:hAnsiTheme="minorEastAsia" w:eastAsiaTheme="minorEastAsia" w:cstheme="minorEastAsia"/>
          <w:sz w:val="24"/>
          <w:szCs w:val="24"/>
        </w:rPr>
        <w:t>应急处理演练</w:t>
      </w:r>
    </w:p>
    <w:p>
      <w:pPr>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合平台的建设现状和安全现状，以及业界主流的业务系统攻击手法，配合新区进行应急处置演练，每年网络安全宣传周配合相关部门开展网络安全攻防演练，分析平台可能遭受的攻击行为及其影响范围、严重程度，并和业务主管部门一起，提前制定安全应急响应预案。</w:t>
      </w:r>
    </w:p>
    <w:p>
      <w:pPr>
        <w:pStyle w:val="4"/>
        <w:pageBreakBefore w:val="0"/>
        <w:widowControl w:val="0"/>
        <w:numPr>
          <w:ilvl w:val="2"/>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lang w:val="en-US" w:eastAsia="zh-CN"/>
        </w:rPr>
      </w:pPr>
      <w:r>
        <w:rPr>
          <w:rFonts w:hint="eastAsia" w:ascii="Times New Roman" w:hAnsi="Times New Roman" w:eastAsia="宋体" w:cstheme="minorEastAsia"/>
          <w:b/>
          <w:bCs/>
          <w:kern w:val="2"/>
          <w:sz w:val="24"/>
          <w:szCs w:val="24"/>
          <w:lang w:val="en-US" w:eastAsia="zh-CN" w:bidi="ar-SA"/>
        </w:rPr>
        <w:t>1.</w:t>
      </w:r>
      <w:r>
        <w:rPr>
          <w:rFonts w:hint="eastAsia" w:eastAsia="宋体" w:cstheme="minorEastAsia"/>
          <w:b/>
          <w:bCs/>
          <w:kern w:val="2"/>
          <w:sz w:val="24"/>
          <w:szCs w:val="24"/>
          <w:lang w:val="en-US" w:eastAsia="zh-CN" w:bidi="ar-SA"/>
        </w:rPr>
        <w:t>2</w:t>
      </w:r>
      <w:r>
        <w:rPr>
          <w:rFonts w:hint="eastAsia" w:asciiTheme="minorEastAsia" w:hAnsiTheme="minorEastAsia" w:eastAsiaTheme="minorEastAsia" w:cstheme="minorEastAsia"/>
          <w:sz w:val="24"/>
          <w:szCs w:val="24"/>
          <w:lang w:val="en-US" w:eastAsia="zh-CN"/>
        </w:rPr>
        <w:t>系统优化升级服务</w:t>
      </w:r>
    </w:p>
    <w:p>
      <w:pPr>
        <w:pStyle w:val="5"/>
        <w:pageBreakBefore w:val="0"/>
        <w:widowControl w:val="0"/>
        <w:numPr>
          <w:ilvl w:val="3"/>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lang w:val="en-US" w:eastAsia="zh-CN"/>
        </w:rPr>
      </w:pPr>
      <w:r>
        <w:rPr>
          <w:rFonts w:hint="eastAsia" w:ascii="Times New Roman" w:hAnsi="Times New Roman" w:eastAsia="宋体" w:cstheme="minorEastAsia"/>
          <w:b/>
          <w:kern w:val="2"/>
          <w:sz w:val="24"/>
          <w:szCs w:val="24"/>
          <w:lang w:val="en-US" w:eastAsia="zh-CN" w:bidi="ar-SA"/>
        </w:rPr>
        <w:t>1.2.1</w:t>
      </w:r>
      <w:r>
        <w:rPr>
          <w:rFonts w:hint="eastAsia" w:asciiTheme="minorEastAsia" w:hAnsiTheme="minorEastAsia" w:eastAsiaTheme="minorEastAsia" w:cstheme="minorEastAsia"/>
          <w:sz w:val="24"/>
          <w:szCs w:val="24"/>
        </w:rPr>
        <w:t>平台优化</w:t>
      </w:r>
      <w:r>
        <w:rPr>
          <w:rFonts w:hint="eastAsia" w:asciiTheme="minorEastAsia" w:hAnsiTheme="minorEastAsia" w:eastAsiaTheme="minorEastAsia" w:cstheme="minorEastAsia"/>
          <w:sz w:val="24"/>
          <w:szCs w:val="24"/>
          <w:lang w:val="en-US" w:eastAsia="zh-CN"/>
        </w:rPr>
        <w:t>升级</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维护人员根据信息化技术及业务发展情况，把控关键技术</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为雄安新区气象灾害防御决策支撑平台</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雄安新区气象大脑、气象信息靶向发布和叫应系统接口、微信公众号和雄安新区强对流监测预警平台</w:t>
      </w:r>
      <w:r>
        <w:rPr>
          <w:rFonts w:hint="eastAsia" w:asciiTheme="minorEastAsia" w:hAnsiTheme="minorEastAsia" w:eastAsiaTheme="minorEastAsia" w:cstheme="minorEastAsia"/>
          <w:sz w:val="24"/>
          <w:szCs w:val="24"/>
          <w:highlight w:val="none"/>
        </w:rPr>
        <w:t>提供系统优化升级服务，拉通各系统间资源数据，及时满足业务需求。</w:t>
      </w:r>
    </w:p>
    <w:p>
      <w:pPr>
        <w:pageBreakBefore w:val="0"/>
        <w:widowControl w:val="0"/>
        <w:numPr>
          <w:ilvl w:val="0"/>
          <w:numId w:val="3"/>
        </w:numP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雄安新区气象灾害防御决策支撑平台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基于</w:t>
      </w:r>
      <w:r>
        <w:rPr>
          <w:rFonts w:hint="eastAsia" w:asciiTheme="minorEastAsia" w:hAnsiTheme="minorEastAsia" w:eastAsiaTheme="minorEastAsia" w:cstheme="minorEastAsia"/>
          <w:sz w:val="24"/>
          <w:szCs w:val="24"/>
          <w:highlight w:val="none"/>
          <w:lang w:eastAsia="zh-CN"/>
        </w:rPr>
        <w:t>雄安新区气象灾害防御决策支撑平台</w:t>
      </w:r>
      <w:r>
        <w:rPr>
          <w:rFonts w:hint="eastAsia" w:asciiTheme="minorEastAsia" w:hAnsiTheme="minorEastAsia" w:eastAsiaTheme="minorEastAsia" w:cstheme="minorEastAsia"/>
          <w:sz w:val="24"/>
          <w:szCs w:val="24"/>
          <w:highlight w:val="none"/>
        </w:rPr>
        <w:t>系统设计，梳理平台的整体架构、业务架构、数据架构、技术架构、部署架构、部署方案等内容，并根据气象局业务需求负责对</w:t>
      </w:r>
      <w:r>
        <w:rPr>
          <w:rFonts w:hint="eastAsia" w:asciiTheme="minorEastAsia" w:hAnsiTheme="minorEastAsia" w:eastAsiaTheme="minorEastAsia" w:cstheme="minorEastAsia"/>
          <w:sz w:val="24"/>
          <w:szCs w:val="24"/>
          <w:highlight w:val="none"/>
          <w:lang w:val="en-US" w:eastAsia="zh-CN"/>
        </w:rPr>
        <w:t>各业务</w:t>
      </w:r>
      <w:r>
        <w:rPr>
          <w:rFonts w:hint="eastAsia" w:asciiTheme="minorEastAsia" w:hAnsiTheme="minorEastAsia" w:eastAsiaTheme="minorEastAsia" w:cstheme="minorEastAsia"/>
          <w:sz w:val="24"/>
          <w:szCs w:val="24"/>
          <w:highlight w:val="none"/>
        </w:rPr>
        <w:t>平台功能维护和优化，包括修改阈值、前端页面优化等内容。</w:t>
      </w:r>
    </w:p>
    <w:p>
      <w:pPr>
        <w:pageBreakBefore w:val="0"/>
        <w:widowControl w:val="0"/>
        <w:numPr>
          <w:ilvl w:val="0"/>
          <w:numId w:val="3"/>
        </w:numP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雄安新区气象大脑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基于雄安新区气象</w:t>
      </w:r>
      <w:r>
        <w:rPr>
          <w:rFonts w:hint="eastAsia" w:asciiTheme="minorEastAsia" w:hAnsiTheme="minorEastAsia" w:eastAsiaTheme="minorEastAsia" w:cstheme="minorEastAsia"/>
          <w:sz w:val="24"/>
          <w:szCs w:val="24"/>
          <w:highlight w:val="none"/>
          <w:lang w:val="en-US" w:eastAsia="zh-CN"/>
        </w:rPr>
        <w:t>大脑</w:t>
      </w:r>
      <w:r>
        <w:rPr>
          <w:rFonts w:hint="eastAsia" w:asciiTheme="minorEastAsia" w:hAnsiTheme="minorEastAsia" w:eastAsiaTheme="minorEastAsia" w:cstheme="minorEastAsia"/>
          <w:sz w:val="24"/>
          <w:szCs w:val="24"/>
          <w:highlight w:val="none"/>
          <w:lang w:eastAsia="zh-CN"/>
        </w:rPr>
        <w:t>平台系统设计，梳理平台的整体架构、业务架构、数据架构、技术架构、部署架构、部署方案等内容，</w:t>
      </w:r>
      <w:r>
        <w:rPr>
          <w:rFonts w:hint="eastAsia" w:asciiTheme="minorEastAsia" w:hAnsiTheme="minorEastAsia" w:eastAsiaTheme="minorEastAsia" w:cstheme="minorEastAsia"/>
          <w:sz w:val="24"/>
          <w:szCs w:val="24"/>
          <w:highlight w:val="none"/>
          <w:lang w:val="en-US" w:eastAsia="zh-CN"/>
        </w:rPr>
        <w:t>包括优化存储结构，对接气象监测设备数据，将设备信息存入气象大脑。对气象大脑服务运维监控优化，对业务数据流和业务服务状态进行监控，对状态异常服务进行预警，并记录数据信息，做可视化升级改造。</w:t>
      </w:r>
    </w:p>
    <w:p>
      <w:pPr>
        <w:pageBreakBefore w:val="0"/>
        <w:widowControl w:val="0"/>
        <w:numPr>
          <w:ilvl w:val="0"/>
          <w:numId w:val="3"/>
        </w:numP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气象信息靶向发布和叫应系统接口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yellow"/>
          <w:lang w:eastAsia="zh-CN"/>
        </w:rPr>
      </w:pPr>
      <w:r>
        <w:rPr>
          <w:rFonts w:hint="eastAsia" w:asciiTheme="minorEastAsia" w:hAnsiTheme="minorEastAsia" w:eastAsiaTheme="minorEastAsia" w:cstheme="minorEastAsia"/>
          <w:sz w:val="24"/>
          <w:szCs w:val="24"/>
          <w:highlight w:val="none"/>
          <w:lang w:val="en-US" w:eastAsia="zh-CN"/>
        </w:rPr>
        <w:t>基于气象信息靶向发布和叫应系统设计，梳理平台的整体架构、业务架构、数据架构、技术架构、部署架构、部署方案等内容，</w:t>
      </w:r>
      <w:r>
        <w:rPr>
          <w:rFonts w:hint="eastAsia" w:asciiTheme="minorEastAsia" w:hAnsiTheme="minorEastAsia" w:eastAsiaTheme="minorEastAsia" w:cstheme="minorEastAsia"/>
          <w:sz w:val="24"/>
          <w:szCs w:val="24"/>
          <w:highlight w:val="none"/>
        </w:rPr>
        <w:t>并根据气象局业务需求</w:t>
      </w:r>
      <w:r>
        <w:rPr>
          <w:rFonts w:hint="eastAsia" w:asciiTheme="minorEastAsia" w:hAnsiTheme="minorEastAsia" w:eastAsiaTheme="minorEastAsia" w:cstheme="minorEastAsia"/>
          <w:sz w:val="24"/>
          <w:szCs w:val="24"/>
          <w:highlight w:val="none"/>
          <w:lang w:val="en-US" w:eastAsia="zh-CN"/>
        </w:rPr>
        <w:t>对气象信息靶向发布和叫应系统接口进行维护和优化，提升气象信息靶向发布效率和精准度，实现气象预警信息的快速、精准、多渠道发布，确保公众及时获取灾害预警。同时提升气象信息靶向叫应成功率，实现灾害预警闭环响应。并</w:t>
      </w:r>
      <w:r>
        <w:rPr>
          <w:rFonts w:hint="eastAsia" w:asciiTheme="minorEastAsia" w:hAnsiTheme="minorEastAsia" w:eastAsiaTheme="minorEastAsia" w:cstheme="minorEastAsia"/>
          <w:sz w:val="24"/>
          <w:szCs w:val="24"/>
        </w:rPr>
        <w:t>负责业务运维及管理，包括账号权限维护、配置变更、问题处置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highlight w:val="none"/>
        </w:rPr>
        <w:t>修改阈值等内容。</w:t>
      </w:r>
    </w:p>
    <w:p>
      <w:pPr>
        <w:pageBreakBefore w:val="0"/>
        <w:widowControl w:val="0"/>
        <w:numPr>
          <w:ilvl w:val="0"/>
          <w:numId w:val="3"/>
        </w:numP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微信公众号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基于微信公众号的设计，梳理微信公众号整体架构、业务架构、数据架构、技术架构、部署架构、部署方案等内容，对微信公众号</w:t>
      </w:r>
      <w:r>
        <w:rPr>
          <w:rFonts w:hint="eastAsia" w:asciiTheme="minorEastAsia" w:hAnsiTheme="minorEastAsia" w:eastAsiaTheme="minorEastAsia" w:cstheme="minorEastAsia"/>
          <w:sz w:val="24"/>
          <w:szCs w:val="24"/>
          <w:highlight w:val="none"/>
          <w:lang w:eastAsia="zh-CN"/>
        </w:rPr>
        <w:t>各项服务运维监控优化，对业务数据流和业务服务状态进行监控，对状态异常服务进行预警，并记录数据信息，做可视化升级改造。优化前端页面加载速度，响应时间，优化gis地图加载效果。对于各项数据来源进行可控操作，将不可控数据源更换为本地可控数据源。</w:t>
      </w:r>
    </w:p>
    <w:p>
      <w:pPr>
        <w:pageBreakBefore w:val="0"/>
        <w:widowControl w:val="0"/>
        <w:numPr>
          <w:ilvl w:val="0"/>
          <w:numId w:val="3"/>
        </w:numP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雄安新区强对流监测预警平台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基于雄安新区强对流监测预警平台的设计，梳理平台整体架构、业务架构、数据架构、技术架构、部署架构、部署方案等内容，对平台</w:t>
      </w:r>
      <w:r>
        <w:rPr>
          <w:rFonts w:hint="eastAsia" w:asciiTheme="minorEastAsia" w:hAnsiTheme="minorEastAsia" w:eastAsiaTheme="minorEastAsia" w:cstheme="minorEastAsia"/>
          <w:sz w:val="24"/>
          <w:szCs w:val="24"/>
          <w:highlight w:val="none"/>
          <w:lang w:eastAsia="zh-CN"/>
        </w:rPr>
        <w:t>各项服务运维监控优化，对业务数据流和业务服务状态进行监控，对状态异常服务进行预警，并记录数据信息。对于各项数据来源进行可控操作，将不可控数据源更换为本地可控数据源。</w:t>
      </w:r>
    </w:p>
    <w:p>
      <w:pPr>
        <w:pStyle w:val="5"/>
        <w:pageBreakBefore w:val="0"/>
        <w:widowControl w:val="0"/>
        <w:numPr>
          <w:ilvl w:val="3"/>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imes New Roman" w:hAnsi="Times New Roman" w:eastAsia="宋体" w:cstheme="minorEastAsia"/>
          <w:b/>
          <w:kern w:val="2"/>
          <w:sz w:val="24"/>
          <w:szCs w:val="24"/>
          <w:lang w:val="en-US" w:eastAsia="zh-CN" w:bidi="ar-SA"/>
        </w:rPr>
        <w:t>1.2.2</w:t>
      </w:r>
      <w:r>
        <w:rPr>
          <w:rFonts w:hint="eastAsia" w:asciiTheme="minorEastAsia" w:hAnsiTheme="minorEastAsia" w:eastAsiaTheme="minorEastAsia" w:cstheme="minorEastAsia"/>
          <w:sz w:val="24"/>
          <w:szCs w:val="24"/>
        </w:rPr>
        <w:t>数据服务</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维护人员负责雄安新区气象灾害防御决策支撑平台</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雄安新区气象大脑、气象信息靶向发布和叫应系统接口、微信公众号和雄安新区强对流监测预警平台日常业务运行的数据支撑工作，包括</w:t>
      </w:r>
      <w:r>
        <w:rPr>
          <w:rFonts w:hint="eastAsia" w:asciiTheme="minorEastAsia" w:hAnsiTheme="minorEastAsia" w:eastAsiaTheme="minorEastAsia" w:cstheme="minorEastAsia"/>
          <w:sz w:val="24"/>
          <w:szCs w:val="24"/>
          <w:highlight w:val="none"/>
        </w:rPr>
        <w:t>数据加工，制作相关数据产品，根据气象局提供的其他系统的数据对接要求，开发数据共享接口。</w:t>
      </w:r>
    </w:p>
    <w:p>
      <w:pPr>
        <w:pStyle w:val="4"/>
        <w:pageBreakBefore w:val="0"/>
        <w:widowControl w:val="0"/>
        <w:numPr>
          <w:ilvl w:val="2"/>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lang w:val="en-US" w:eastAsia="zh-CN"/>
        </w:rPr>
      </w:pPr>
      <w:r>
        <w:rPr>
          <w:rFonts w:hint="eastAsia" w:ascii="Times New Roman" w:hAnsi="Times New Roman" w:eastAsia="宋体" w:cstheme="minorEastAsia"/>
          <w:b/>
          <w:bCs/>
          <w:kern w:val="2"/>
          <w:sz w:val="24"/>
          <w:szCs w:val="24"/>
          <w:lang w:val="en-US" w:eastAsia="zh-CN" w:bidi="ar-SA"/>
        </w:rPr>
        <w:t>1.</w:t>
      </w:r>
      <w:r>
        <w:rPr>
          <w:rFonts w:hint="eastAsia" w:eastAsia="宋体" w:cstheme="minorEastAsia"/>
          <w:b/>
          <w:bCs/>
          <w:kern w:val="2"/>
          <w:sz w:val="24"/>
          <w:szCs w:val="24"/>
          <w:lang w:val="en-US" w:eastAsia="zh-CN" w:bidi="ar-SA"/>
        </w:rPr>
        <w:t>3</w:t>
      </w:r>
      <w:r>
        <w:rPr>
          <w:rFonts w:hint="eastAsia" w:asciiTheme="minorEastAsia" w:hAnsiTheme="minorEastAsia" w:eastAsiaTheme="minorEastAsia" w:cstheme="minorEastAsia"/>
          <w:sz w:val="24"/>
          <w:szCs w:val="24"/>
          <w:lang w:val="en-US" w:eastAsia="zh-CN"/>
        </w:rPr>
        <w:t>技术支撑服务</w:t>
      </w:r>
    </w:p>
    <w:p>
      <w:pPr>
        <w:pStyle w:val="5"/>
        <w:pageBreakBefore w:val="0"/>
        <w:widowControl w:val="0"/>
        <w:numPr>
          <w:ilvl w:val="3"/>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ascii="Times New Roman" w:hAnsi="Times New Roman" w:eastAsia="宋体" w:cstheme="minorEastAsia"/>
          <w:b/>
          <w:kern w:val="2"/>
          <w:sz w:val="24"/>
          <w:szCs w:val="24"/>
          <w:lang w:val="en-US" w:eastAsia="zh-CN" w:bidi="ar-SA"/>
        </w:rPr>
        <w:t>1.3.1</w:t>
      </w:r>
      <w:r>
        <w:rPr>
          <w:rFonts w:hint="eastAsia" w:asciiTheme="minorEastAsia" w:hAnsiTheme="minorEastAsia" w:eastAsiaTheme="minorEastAsia" w:cstheme="minorEastAsia"/>
          <w:sz w:val="24"/>
          <w:szCs w:val="24"/>
        </w:rPr>
        <w:t>技术支撑</w:t>
      </w:r>
    </w:p>
    <w:p>
      <w:pPr>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规范的步骤对维护期间维护方案、维护交接或其他技术文档进行技术审查，辅助气象局做好技术层面把关；提供服务报告，包括维护工作报告、项目档案与设备台账报告等；提供客服咨询，维护业务咨询解答、常见问题解答、为客户提供驻场服务等。</w:t>
      </w:r>
    </w:p>
    <w:p>
      <w:pPr>
        <w:pStyle w:val="5"/>
        <w:pageBreakBefore w:val="0"/>
        <w:widowControl w:val="0"/>
        <w:numPr>
          <w:ilvl w:val="3"/>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lang w:eastAsia="zh-CN"/>
        </w:rPr>
      </w:pPr>
      <w:r>
        <w:rPr>
          <w:rFonts w:hint="eastAsia" w:ascii="Times New Roman" w:hAnsi="Times New Roman" w:eastAsia="宋体" w:cstheme="minorEastAsia"/>
          <w:b/>
          <w:kern w:val="2"/>
          <w:sz w:val="24"/>
          <w:szCs w:val="24"/>
          <w:lang w:val="en-US" w:eastAsia="zh-CN" w:bidi="ar-SA"/>
        </w:rPr>
        <w:t>1.3.2</w:t>
      </w:r>
      <w:r>
        <w:rPr>
          <w:rFonts w:hint="eastAsia" w:asciiTheme="minorEastAsia" w:hAnsiTheme="minorEastAsia" w:eastAsiaTheme="minorEastAsia" w:cstheme="minorEastAsia"/>
          <w:sz w:val="24"/>
          <w:szCs w:val="24"/>
          <w:lang w:eastAsia="zh-CN"/>
        </w:rPr>
        <w:t>代码管理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制定系统代码管理机制和规则</w:t>
      </w:r>
      <w:r>
        <w:rPr>
          <w:rFonts w:hint="eastAsia" w:asciiTheme="minorEastAsia" w:hAnsiTheme="minorEastAsia" w:eastAsiaTheme="minorEastAsia" w:cstheme="minorEastAsia"/>
          <w:sz w:val="24"/>
          <w:szCs w:val="24"/>
          <w:lang w:eastAsia="zh-CN"/>
        </w:rPr>
        <w:t>，确保代码的安全性和可追溯性。同时，项目代码库的存放位置和访问方式会在内部文档中明确记录，并定期同步更新，确保所有</w:t>
      </w:r>
      <w:r>
        <w:rPr>
          <w:rFonts w:hint="eastAsia" w:asciiTheme="minorEastAsia" w:hAnsiTheme="minorEastAsia" w:eastAsiaTheme="minorEastAsia" w:cstheme="minorEastAsia"/>
          <w:sz w:val="24"/>
          <w:szCs w:val="24"/>
          <w:lang w:val="en-US" w:eastAsia="zh-CN"/>
        </w:rPr>
        <w:t>气象局</w:t>
      </w:r>
      <w:r>
        <w:rPr>
          <w:rFonts w:hint="eastAsia" w:asciiTheme="minorEastAsia" w:hAnsiTheme="minorEastAsia" w:eastAsiaTheme="minorEastAsia" w:cstheme="minorEastAsia"/>
          <w:sz w:val="24"/>
          <w:szCs w:val="24"/>
          <w:lang w:eastAsia="zh-CN"/>
        </w:rPr>
        <w:t>相关</w:t>
      </w:r>
      <w:r>
        <w:rPr>
          <w:rFonts w:hint="eastAsia" w:asciiTheme="minorEastAsia" w:hAnsiTheme="minorEastAsia" w:eastAsiaTheme="minorEastAsia" w:cstheme="minorEastAsia"/>
          <w:sz w:val="24"/>
          <w:szCs w:val="24"/>
          <w:lang w:val="en-US" w:eastAsia="zh-CN"/>
        </w:rPr>
        <w:t>业务</w:t>
      </w:r>
      <w:r>
        <w:rPr>
          <w:rFonts w:hint="eastAsia" w:asciiTheme="minorEastAsia" w:hAnsiTheme="minorEastAsia" w:eastAsiaTheme="minorEastAsia" w:cstheme="minorEastAsia"/>
          <w:sz w:val="24"/>
          <w:szCs w:val="24"/>
          <w:lang w:eastAsia="zh-CN"/>
        </w:rPr>
        <w:t>人员</w:t>
      </w:r>
      <w:r>
        <w:rPr>
          <w:rFonts w:hint="eastAsia" w:asciiTheme="minorEastAsia" w:hAnsiTheme="minorEastAsia" w:eastAsiaTheme="minorEastAsia" w:cstheme="minorEastAsia"/>
          <w:sz w:val="24"/>
          <w:szCs w:val="24"/>
          <w:lang w:val="en-US" w:eastAsia="zh-CN"/>
        </w:rPr>
        <w:t>和维护人员</w:t>
      </w:r>
      <w:r>
        <w:rPr>
          <w:rFonts w:hint="eastAsia" w:asciiTheme="minorEastAsia" w:hAnsiTheme="minorEastAsia" w:eastAsiaTheme="minorEastAsia" w:cstheme="minorEastAsia"/>
          <w:sz w:val="24"/>
          <w:szCs w:val="24"/>
          <w:lang w:eastAsia="zh-CN"/>
        </w:rPr>
        <w:t>能够及时了解代码状态。通过规范的代码管理和透明的沟通机制，能够有效提升协作效率，保障系统维护工作的顺利进行。</w:t>
      </w:r>
    </w:p>
    <w:p>
      <w:pPr>
        <w:pStyle w:val="5"/>
        <w:pageBreakBefore w:val="0"/>
        <w:widowControl w:val="0"/>
        <w:numPr>
          <w:ilvl w:val="3"/>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lang w:eastAsia="zh-CN"/>
        </w:rPr>
      </w:pPr>
      <w:r>
        <w:rPr>
          <w:rFonts w:hint="eastAsia" w:ascii="Times New Roman" w:hAnsi="Times New Roman" w:eastAsia="宋体" w:cstheme="minorEastAsia"/>
          <w:b/>
          <w:kern w:val="2"/>
          <w:sz w:val="24"/>
          <w:szCs w:val="24"/>
          <w:lang w:val="en-US" w:eastAsia="zh-CN" w:bidi="ar-SA"/>
        </w:rPr>
        <w:t>1.3.3</w:t>
      </w:r>
      <w:r>
        <w:rPr>
          <w:rFonts w:hint="eastAsia" w:asciiTheme="minorEastAsia" w:hAnsiTheme="minorEastAsia" w:eastAsiaTheme="minorEastAsia" w:cstheme="minorEastAsia"/>
          <w:sz w:val="24"/>
          <w:szCs w:val="24"/>
          <w:lang w:eastAsia="zh-CN"/>
        </w:rPr>
        <w:t>培训服务</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根据气象局业务要求，维护人员提供培训服务，为系统管理员和业务操作人员安排IT技术培训服务，辅助气象局人才培养。</w:t>
      </w:r>
    </w:p>
    <w:p>
      <w:pPr>
        <w:pStyle w:val="5"/>
        <w:pageBreakBefore w:val="0"/>
        <w:widowControl w:val="0"/>
        <w:numPr>
          <w:ilvl w:val="3"/>
          <w:numId w:val="0"/>
        </w:numPr>
        <w:kinsoku/>
        <w:wordWrap/>
        <w:overflowPunct/>
        <w:topLinePunct w:val="0"/>
        <w:autoSpaceDE/>
        <w:autoSpaceDN/>
        <w:bidi w:val="0"/>
        <w:adjustRightInd w:val="0"/>
        <w:snapToGrid/>
        <w:spacing w:line="360" w:lineRule="auto"/>
        <w:ind w:left="0" w:leftChars="0" w:firstLine="482" w:firstLineChars="200"/>
        <w:textAlignment w:val="baseline"/>
        <w:rPr>
          <w:rFonts w:hint="eastAsia" w:asciiTheme="minorEastAsia" w:hAnsiTheme="minorEastAsia" w:eastAsiaTheme="minorEastAsia" w:cstheme="minorEastAsia"/>
          <w:sz w:val="24"/>
          <w:szCs w:val="24"/>
          <w:lang w:eastAsia="zh-CN"/>
        </w:rPr>
      </w:pPr>
      <w:r>
        <w:rPr>
          <w:rFonts w:hint="eastAsia" w:ascii="Times New Roman" w:hAnsi="Times New Roman" w:eastAsia="宋体" w:cstheme="minorEastAsia"/>
          <w:b/>
          <w:kern w:val="2"/>
          <w:sz w:val="24"/>
          <w:szCs w:val="24"/>
          <w:lang w:val="en-US" w:eastAsia="zh-CN" w:bidi="ar-SA"/>
        </w:rPr>
        <w:t>1.3.4</w:t>
      </w:r>
      <w:r>
        <w:rPr>
          <w:rFonts w:hint="eastAsia" w:asciiTheme="minorEastAsia" w:hAnsiTheme="minorEastAsia" w:eastAsiaTheme="minorEastAsia" w:cstheme="minorEastAsia"/>
          <w:sz w:val="24"/>
          <w:szCs w:val="24"/>
          <w:lang w:eastAsia="zh-CN"/>
        </w:rPr>
        <w:t>其他任务</w:t>
      </w:r>
    </w:p>
    <w:p>
      <w:pPr>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维护人员负责完成气象局安排的其他相关任务。</w:t>
      </w:r>
    </w:p>
    <w:p>
      <w:pPr>
        <w:pStyle w:val="3"/>
        <w:pageBreakBefore w:val="0"/>
        <w:widowControl w:val="0"/>
        <w:numPr>
          <w:ilvl w:val="1"/>
          <w:numId w:val="0"/>
        </w:numPr>
        <w:kinsoku/>
        <w:wordWrap/>
        <w:overflowPunct/>
        <w:topLinePunct w:val="0"/>
        <w:autoSpaceDE/>
        <w:autoSpaceDN/>
        <w:bidi w:val="0"/>
        <w:adjustRightInd w:val="0"/>
        <w:snapToGrid/>
        <w:spacing w:before="0" w:after="0" w:line="360" w:lineRule="auto"/>
        <w:ind w:left="0" w:leftChars="0" w:firstLine="0" w:firstLineChars="0"/>
        <w:textAlignment w:val="baseline"/>
        <w:rPr>
          <w:rFonts w:hint="eastAsia" w:asciiTheme="minorEastAsia" w:hAnsiTheme="minorEastAsia" w:eastAsiaTheme="minorEastAsia" w:cstheme="minorEastAsia"/>
          <w:sz w:val="24"/>
          <w:szCs w:val="24"/>
        </w:rPr>
      </w:pPr>
      <w:bookmarkStart w:id="15" w:name="_Toc27878"/>
      <w:r>
        <w:rPr>
          <w:rFonts w:hint="eastAsia" w:asciiTheme="minorEastAsia" w:hAnsiTheme="minorEastAsia" w:eastAsiaTheme="minorEastAsia" w:cstheme="minorEastAsia"/>
          <w:b/>
          <w:bCs/>
          <w:sz w:val="24"/>
          <w:szCs w:val="24"/>
          <w:lang w:val="en-US" w:eastAsia="zh-CN" w:bidi="ar-SA"/>
        </w:rPr>
        <w:t>二、</w:t>
      </w:r>
      <w:r>
        <w:rPr>
          <w:rFonts w:hint="eastAsia" w:asciiTheme="minorEastAsia" w:hAnsiTheme="minorEastAsia" w:eastAsiaTheme="minorEastAsia" w:cstheme="minorEastAsia"/>
          <w:sz w:val="24"/>
          <w:szCs w:val="24"/>
        </w:rPr>
        <w:t>维护服务要求</w:t>
      </w:r>
      <w:bookmarkEnd w:id="15"/>
    </w:p>
    <w:p>
      <w:pPr>
        <w:pStyle w:val="4"/>
        <w:pageBreakBefore w:val="0"/>
        <w:widowControl w:val="0"/>
        <w:numPr>
          <w:ilvl w:val="2"/>
          <w:numId w:val="0"/>
        </w:numPr>
        <w:kinsoku/>
        <w:wordWrap/>
        <w:overflowPunct/>
        <w:topLinePunct w:val="0"/>
        <w:autoSpaceDE/>
        <w:autoSpaceDN/>
        <w:bidi w:val="0"/>
        <w:adjustRightInd w:val="0"/>
        <w:snapToGrid/>
        <w:spacing w:line="360" w:lineRule="auto"/>
        <w:ind w:left="0" w:leftChars="0" w:firstLine="482" w:firstLineChars="200"/>
        <w:textAlignment w:val="baseline"/>
        <w:rPr>
          <w:rFonts w:hint="eastAsia" w:asciiTheme="minorEastAsia" w:hAnsiTheme="minorEastAsia" w:eastAsiaTheme="minorEastAsia" w:cstheme="minorEastAsia"/>
          <w:sz w:val="24"/>
          <w:szCs w:val="24"/>
          <w:highlight w:val="none"/>
        </w:rPr>
      </w:pPr>
      <w:bookmarkStart w:id="33" w:name="_GoBack"/>
      <w:r>
        <w:rPr>
          <w:rFonts w:hint="eastAsia" w:eastAsia="宋体" w:cstheme="minorEastAsia"/>
          <w:b/>
          <w:bCs/>
          <w:kern w:val="2"/>
          <w:sz w:val="24"/>
          <w:szCs w:val="24"/>
          <w:highlight w:val="none"/>
          <w:lang w:val="en-US" w:eastAsia="zh-CN" w:bidi="ar-SA"/>
        </w:rPr>
        <w:t>2.1</w:t>
      </w:r>
      <w:r>
        <w:rPr>
          <w:rFonts w:hint="eastAsia" w:asciiTheme="minorEastAsia" w:hAnsiTheme="minorEastAsia" w:eastAsiaTheme="minorEastAsia" w:cstheme="minorEastAsia"/>
          <w:sz w:val="24"/>
          <w:szCs w:val="24"/>
          <w:highlight w:val="none"/>
        </w:rPr>
        <w:t>人员配置及驻场要求</w:t>
      </w:r>
    </w:p>
    <w:p>
      <w:pPr>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lang w:val="en-US" w:eastAsia="zh-CN" w:bidi="ar-SA"/>
        </w:rPr>
        <w:t>2.1.1</w:t>
      </w:r>
      <w:r>
        <w:rPr>
          <w:rFonts w:hint="eastAsia" w:asciiTheme="minorEastAsia" w:hAnsiTheme="minorEastAsia" w:eastAsiaTheme="minorEastAsia" w:cstheme="minorEastAsia"/>
          <w:sz w:val="24"/>
          <w:szCs w:val="24"/>
          <w:highlight w:val="none"/>
        </w:rPr>
        <w:t>投标人须成立针对该项目的实施工作小组，需承诺配备不少于</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人的服务团队，成员需包括：项目经理、技术负责人、其他团队成员，能够结合实际及时响应甲方相关项目需求。</w:t>
      </w:r>
    </w:p>
    <w:p>
      <w:pPr>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提供不少于</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名专职维护服务人员，</w:t>
      </w:r>
      <w:r>
        <w:rPr>
          <w:rFonts w:hint="eastAsia" w:asciiTheme="minorEastAsia" w:hAnsiTheme="minorEastAsia" w:eastAsiaTheme="minorEastAsia" w:cstheme="minorEastAsia"/>
          <w:sz w:val="24"/>
          <w:szCs w:val="24"/>
          <w:highlight w:val="none"/>
          <w:lang w:val="en-US" w:eastAsia="zh-CN"/>
        </w:rPr>
        <w:t>其中至少包括运维工程师、研发工程师及测试工程师等角色，</w:t>
      </w:r>
      <w:r>
        <w:rPr>
          <w:rFonts w:hint="eastAsia" w:asciiTheme="minorEastAsia" w:hAnsiTheme="minorEastAsia" w:eastAsiaTheme="minorEastAsia" w:cstheme="minorEastAsia"/>
          <w:sz w:val="24"/>
          <w:szCs w:val="24"/>
          <w:highlight w:val="none"/>
        </w:rPr>
        <w:t>在气象局指定的地点进行驻场服务，完成系统</w:t>
      </w:r>
      <w:r>
        <w:rPr>
          <w:rFonts w:hint="eastAsia" w:asciiTheme="minorEastAsia" w:hAnsiTheme="minorEastAsia" w:eastAsiaTheme="minorEastAsia" w:cstheme="minorEastAsia"/>
          <w:sz w:val="24"/>
          <w:szCs w:val="24"/>
          <w:highlight w:val="none"/>
          <w:lang w:val="en-US" w:eastAsia="zh-CN"/>
        </w:rPr>
        <w:t>优化升级</w:t>
      </w:r>
      <w:r>
        <w:rPr>
          <w:rFonts w:hint="eastAsia" w:asciiTheme="minorEastAsia" w:hAnsiTheme="minorEastAsia" w:eastAsiaTheme="minorEastAsia" w:cstheme="minorEastAsia"/>
          <w:sz w:val="24"/>
          <w:szCs w:val="24"/>
          <w:highlight w:val="none"/>
        </w:rPr>
        <w:t>、维护服务以及气象局安排的其他相关任务。同时提供不少于</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名非驻场维护服务人员</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包括运维工程师、研发工程师、数据工程师、系统架构师</w:t>
      </w:r>
      <w:r>
        <w:rPr>
          <w:rFonts w:hint="eastAsia" w:asciiTheme="minorEastAsia" w:hAnsiTheme="minorEastAsia" w:eastAsiaTheme="minorEastAsia" w:cstheme="minorEastAsia"/>
          <w:sz w:val="24"/>
          <w:szCs w:val="24"/>
          <w:highlight w:val="none"/>
        </w:rPr>
        <w:t>，对项目进行技术支持和指导。</w:t>
      </w:r>
    </w:p>
    <w:p>
      <w:pPr>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2.1.2</w:t>
      </w:r>
      <w:r>
        <w:rPr>
          <w:rFonts w:hint="eastAsia" w:asciiTheme="minorEastAsia" w:hAnsiTheme="minorEastAsia" w:eastAsiaTheme="minorEastAsia" w:cstheme="minorEastAsia"/>
          <w:sz w:val="24"/>
          <w:szCs w:val="24"/>
          <w:highlight w:val="none"/>
        </w:rPr>
        <w:t>在项目实施、售后服务过程中，该项目负责人原则上不得更换，但如遇特殊情况必须要更换，由实施工作小组提出申请，经采购人同意后方可更换</w:t>
      </w:r>
      <w:r>
        <w:rPr>
          <w:rFonts w:hint="eastAsia" w:asciiTheme="minorEastAsia" w:hAnsiTheme="minorEastAsia" w:eastAsiaTheme="minorEastAsia" w:cstheme="minorEastAsia"/>
          <w:sz w:val="24"/>
          <w:szCs w:val="24"/>
          <w:highlight w:val="none"/>
          <w:lang w:eastAsia="zh-CN"/>
        </w:rPr>
        <w:t>。</w:t>
      </w:r>
    </w:p>
    <w:bookmarkEnd w:id="33"/>
    <w:p>
      <w:pPr>
        <w:pStyle w:val="4"/>
        <w:pageBreakBefore w:val="0"/>
        <w:widowControl w:val="0"/>
        <w:numPr>
          <w:ilvl w:val="2"/>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eastAsia="宋体" w:cstheme="minorEastAsia"/>
          <w:b/>
          <w:bCs/>
          <w:kern w:val="2"/>
          <w:sz w:val="24"/>
          <w:szCs w:val="24"/>
          <w:lang w:val="en-US" w:eastAsia="zh-CN" w:bidi="ar-SA"/>
        </w:rPr>
        <w:t>2.2</w:t>
      </w:r>
      <w:r>
        <w:rPr>
          <w:rFonts w:hint="eastAsia" w:asciiTheme="minorEastAsia" w:hAnsiTheme="minorEastAsia" w:eastAsiaTheme="minorEastAsia" w:cstheme="minorEastAsia"/>
          <w:sz w:val="24"/>
          <w:szCs w:val="24"/>
        </w:rPr>
        <w:t>服务响应时间</w:t>
      </w:r>
    </w:p>
    <w:tbl>
      <w:tblPr>
        <w:tblStyle w:val="12"/>
        <w:tblW w:w="864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838"/>
        <w:gridCol w:w="3692"/>
        <w:gridCol w:w="31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9" w:hRule="atLeast"/>
        </w:trPr>
        <w:tc>
          <w:tcPr>
            <w:tcW w:w="1838" w:type="dxa"/>
            <w:vAlign w:val="center"/>
          </w:tcPr>
          <w:p>
            <w:pPr>
              <w:pStyle w:val="16"/>
              <w:pageBreakBefore w:val="0"/>
              <w:widowControl w:val="0"/>
              <w:kinsoku/>
              <w:wordWrap/>
              <w:overflowPunct/>
              <w:topLinePunct w:val="0"/>
              <w:autoSpaceDE/>
              <w:autoSpaceDN/>
              <w:bidi w:val="0"/>
              <w:adjustRightInd w:val="0"/>
              <w:snapToGrid/>
              <w:spacing w:line="24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问题级别</w:t>
            </w:r>
          </w:p>
        </w:tc>
        <w:tc>
          <w:tcPr>
            <w:tcW w:w="3692" w:type="dxa"/>
            <w:vAlign w:val="center"/>
          </w:tcPr>
          <w:p>
            <w:pPr>
              <w:pStyle w:val="16"/>
              <w:pageBreakBefore w:val="0"/>
              <w:widowControl w:val="0"/>
              <w:kinsoku/>
              <w:wordWrap/>
              <w:overflowPunct/>
              <w:topLinePunct w:val="0"/>
              <w:autoSpaceDE/>
              <w:autoSpaceDN/>
              <w:bidi w:val="0"/>
              <w:adjustRightInd w:val="0"/>
              <w:snapToGrid/>
              <w:spacing w:line="24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级别说明</w:t>
            </w:r>
          </w:p>
        </w:tc>
        <w:tc>
          <w:tcPr>
            <w:tcW w:w="3112" w:type="dxa"/>
            <w:vAlign w:val="center"/>
          </w:tcPr>
          <w:p>
            <w:pPr>
              <w:pStyle w:val="16"/>
              <w:pageBreakBefore w:val="0"/>
              <w:widowControl w:val="0"/>
              <w:kinsoku/>
              <w:wordWrap/>
              <w:overflowPunct/>
              <w:topLinePunct w:val="0"/>
              <w:autoSpaceDE/>
              <w:autoSpaceDN/>
              <w:bidi w:val="0"/>
              <w:adjustRightInd w:val="0"/>
              <w:snapToGrid/>
              <w:spacing w:line="24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支持方式及响应时间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38"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一级严重程度：临界业务影响</w:t>
            </w:r>
          </w:p>
        </w:tc>
        <w:tc>
          <w:tcPr>
            <w:tcW w:w="3692"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不能使用软件，或不能合理地继续使用软件进行工作。</w:t>
            </w:r>
          </w:p>
        </w:tc>
        <w:tc>
          <w:tcPr>
            <w:tcW w:w="3112"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电话：24×7×365立即启动</w:t>
            </w:r>
          </w:p>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远程：立即启动</w:t>
            </w:r>
          </w:p>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现场服务：2小时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38"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二级严重程度：重大业务影响</w:t>
            </w:r>
          </w:p>
        </w:tc>
        <w:tc>
          <w:tcPr>
            <w:tcW w:w="3692"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软件问题导致软件的重要特性不能正常工作，没有可接受的替代解决方案。虽然软件的其他方面没有受到影响，但是报告的问题已经对生产或运营能力或服务水平造成了显著的负面影响。</w:t>
            </w:r>
          </w:p>
        </w:tc>
        <w:tc>
          <w:tcPr>
            <w:tcW w:w="3112"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电话：24×7（非法定节假日）</w:t>
            </w:r>
          </w:p>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远程：1小时内启动</w:t>
            </w:r>
          </w:p>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现场服务：4小时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38"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三级严重程度：对业务有一定影响</w:t>
            </w:r>
          </w:p>
        </w:tc>
        <w:tc>
          <w:tcPr>
            <w:tcW w:w="3692"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问题导致软件的重要特性不可用的，但可使用替代方案解决，或软件的非必要特性不可用，但没有替代解决方案。无论软件使用情况如何，此类问题的影响是，软件操作功能或实施能力的较低程度的降低。</w:t>
            </w:r>
          </w:p>
        </w:tc>
        <w:tc>
          <w:tcPr>
            <w:tcW w:w="3112"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电话：24×5（非法定节假日）</w:t>
            </w:r>
          </w:p>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远程：2小时内启动</w:t>
            </w:r>
          </w:p>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现场服务：6小时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38"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四级严重程度：最小业务影响</w:t>
            </w:r>
          </w:p>
        </w:tc>
        <w:tc>
          <w:tcPr>
            <w:tcW w:w="3692"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用户提交请求，要求了解软件信息，要求对文档内容进行解释澄清等，对软件运行和使用没有影响。用户对软件使用仍在继续，对软件的功能实现没有负面影响。</w:t>
            </w:r>
          </w:p>
        </w:tc>
        <w:tc>
          <w:tcPr>
            <w:tcW w:w="3112"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电话：24×5（非法定节假日）</w:t>
            </w:r>
          </w:p>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远程：4小时内启动</w:t>
            </w:r>
          </w:p>
        </w:tc>
      </w:tr>
    </w:tbl>
    <w:p>
      <w:pPr>
        <w:pStyle w:val="3"/>
        <w:pageBreakBefore w:val="0"/>
        <w:widowControl w:val="0"/>
        <w:numPr>
          <w:ilvl w:val="1"/>
          <w:numId w:val="0"/>
        </w:numPr>
        <w:kinsoku/>
        <w:wordWrap/>
        <w:overflowPunct/>
        <w:topLinePunct w:val="0"/>
        <w:autoSpaceDE/>
        <w:autoSpaceDN/>
        <w:bidi w:val="0"/>
        <w:adjustRightInd w:val="0"/>
        <w:snapToGrid/>
        <w:spacing w:before="0" w:after="0" w:line="360" w:lineRule="auto"/>
        <w:ind w:left="0" w:leftChars="0" w:firstLine="0" w:firstLineChars="0"/>
        <w:textAlignment w:val="baseline"/>
        <w:rPr>
          <w:rFonts w:hint="eastAsia" w:asciiTheme="minorEastAsia" w:hAnsiTheme="minorEastAsia" w:eastAsiaTheme="minorEastAsia" w:cstheme="minorEastAsia"/>
          <w:b/>
          <w:bCs/>
          <w:sz w:val="24"/>
          <w:szCs w:val="24"/>
          <w:lang w:val="en-US" w:eastAsia="zh-CN" w:bidi="ar-SA"/>
        </w:rPr>
      </w:pPr>
      <w:bookmarkStart w:id="16" w:name="_Toc27639"/>
    </w:p>
    <w:p>
      <w:pPr>
        <w:pStyle w:val="3"/>
        <w:pageBreakBefore w:val="0"/>
        <w:widowControl w:val="0"/>
        <w:numPr>
          <w:ilvl w:val="1"/>
          <w:numId w:val="0"/>
        </w:numPr>
        <w:kinsoku/>
        <w:wordWrap/>
        <w:overflowPunct/>
        <w:topLinePunct w:val="0"/>
        <w:autoSpaceDE/>
        <w:autoSpaceDN/>
        <w:bidi w:val="0"/>
        <w:adjustRightInd w:val="0"/>
        <w:snapToGrid/>
        <w:spacing w:before="0" w:after="0" w:line="360" w:lineRule="auto"/>
        <w:ind w:left="0" w:leftChars="0" w:firstLine="0"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bidi="ar-SA"/>
        </w:rPr>
        <w:t>三、</w:t>
      </w:r>
      <w:r>
        <w:rPr>
          <w:rFonts w:hint="eastAsia" w:asciiTheme="minorEastAsia" w:hAnsiTheme="minorEastAsia" w:eastAsiaTheme="minorEastAsia" w:cstheme="minorEastAsia"/>
          <w:sz w:val="24"/>
          <w:szCs w:val="24"/>
        </w:rPr>
        <w:t>服务考核方案</w:t>
      </w:r>
      <w:bookmarkEnd w:id="16"/>
    </w:p>
    <w:p>
      <w:pPr>
        <w:pStyle w:val="4"/>
        <w:pageBreakBefore w:val="0"/>
        <w:widowControl w:val="0"/>
        <w:numPr>
          <w:ilvl w:val="2"/>
          <w:numId w:val="0"/>
        </w:numPr>
        <w:kinsoku/>
        <w:wordWrap/>
        <w:overflowPunct/>
        <w:topLinePunct w:val="0"/>
        <w:autoSpaceDE/>
        <w:autoSpaceDN/>
        <w:bidi w:val="0"/>
        <w:adjustRightInd w:val="0"/>
        <w:snapToGrid/>
        <w:spacing w:line="360" w:lineRule="auto"/>
        <w:ind w:left="0" w:leftChars="0" w:firstLine="482" w:firstLineChars="200"/>
        <w:textAlignment w:val="baseline"/>
        <w:rPr>
          <w:rFonts w:hint="eastAsia" w:asciiTheme="minorEastAsia" w:hAnsiTheme="minorEastAsia" w:eastAsiaTheme="minorEastAsia" w:cstheme="minorEastAsia"/>
          <w:sz w:val="24"/>
          <w:szCs w:val="24"/>
        </w:rPr>
      </w:pPr>
      <w:r>
        <w:rPr>
          <w:rFonts w:hint="eastAsia" w:eastAsia="宋体" w:cstheme="minorEastAsia"/>
          <w:b/>
          <w:bCs/>
          <w:kern w:val="2"/>
          <w:sz w:val="24"/>
          <w:szCs w:val="24"/>
          <w:lang w:val="en-US" w:eastAsia="zh-CN" w:bidi="ar-SA"/>
        </w:rPr>
        <w:t>3</w:t>
      </w:r>
      <w:r>
        <w:rPr>
          <w:rFonts w:hint="eastAsia" w:ascii="Times New Roman" w:hAnsi="Times New Roman" w:eastAsia="宋体" w:cstheme="minorEastAsia"/>
          <w:b/>
          <w:bCs/>
          <w:kern w:val="2"/>
          <w:sz w:val="24"/>
          <w:szCs w:val="24"/>
          <w:lang w:val="en-US" w:eastAsia="zh-CN" w:bidi="ar-SA"/>
        </w:rPr>
        <w:t>.1</w:t>
      </w:r>
      <w:r>
        <w:rPr>
          <w:rFonts w:hint="eastAsia" w:asciiTheme="minorEastAsia" w:hAnsiTheme="minorEastAsia" w:eastAsiaTheme="minorEastAsia" w:cstheme="minorEastAsia"/>
          <w:sz w:val="24"/>
          <w:szCs w:val="24"/>
        </w:rPr>
        <w:t>考核机制</w:t>
      </w:r>
    </w:p>
    <w:p>
      <w:pPr>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进一步督促维护人员提供更加精准、高效、标准、规范的维护服务，气象局负责组织制定维护服务考核指标，建立综合绩效考核、违规红线考核的双重评估机制，建立投诉和监督渠道，每季度对维护服务质量情况进行调研摸查。服务评估总分为100分，其中综合绩效考核85分，违规红线考核15分。经评估后：</w:t>
      </w:r>
    </w:p>
    <w:p>
      <w:pPr>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（1）当维护服务得分大于等于90分，</w:t>
      </w:r>
      <w:r>
        <w:rPr>
          <w:rFonts w:hint="eastAsia" w:asciiTheme="minorEastAsia" w:hAnsiTheme="minorEastAsia" w:eastAsiaTheme="minorEastAsia" w:cstheme="minorEastAsia"/>
          <w:sz w:val="24"/>
          <w:szCs w:val="24"/>
          <w:lang w:val="en-US" w:eastAsia="zh-CN"/>
        </w:rPr>
        <w:t>不需要退还</w:t>
      </w:r>
      <w:r>
        <w:rPr>
          <w:rFonts w:hint="eastAsia" w:asciiTheme="minorEastAsia" w:hAnsiTheme="minorEastAsia" w:eastAsiaTheme="minorEastAsia" w:cstheme="minorEastAsia"/>
          <w:sz w:val="24"/>
          <w:szCs w:val="24"/>
        </w:rPr>
        <w:t>维护服务费；</w:t>
      </w:r>
    </w:p>
    <w:p>
      <w:pPr>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（2）当维护服务得分介于80分（含本数）与90分之间，每低1分，</w:t>
      </w:r>
      <w:r>
        <w:rPr>
          <w:rFonts w:hint="eastAsia" w:asciiTheme="minorEastAsia" w:hAnsiTheme="minorEastAsia" w:eastAsiaTheme="minorEastAsia" w:cstheme="minorEastAsia"/>
          <w:sz w:val="24"/>
          <w:szCs w:val="24"/>
          <w:lang w:val="en-US" w:eastAsia="zh-CN"/>
        </w:rPr>
        <w:t>退还</w:t>
      </w:r>
      <w:r>
        <w:rPr>
          <w:rFonts w:hint="eastAsia" w:asciiTheme="minorEastAsia" w:hAnsiTheme="minorEastAsia" w:eastAsiaTheme="minorEastAsia" w:cstheme="minorEastAsia"/>
          <w:sz w:val="24"/>
          <w:szCs w:val="24"/>
        </w:rPr>
        <w:t>当期维护服务费的0.5%；</w:t>
      </w:r>
    </w:p>
    <w:p>
      <w:pPr>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（3）当维护服务得分介于70分（含本数）与80分之间，在</w:t>
      </w:r>
      <w:r>
        <w:rPr>
          <w:rFonts w:hint="eastAsia" w:asciiTheme="minorEastAsia" w:hAnsiTheme="minorEastAsia" w:eastAsiaTheme="minorEastAsia" w:cstheme="minorEastAsia"/>
          <w:sz w:val="24"/>
          <w:szCs w:val="24"/>
          <w:lang w:val="en-US" w:eastAsia="zh-CN"/>
        </w:rPr>
        <w:t>退还</w:t>
      </w:r>
      <w:r>
        <w:rPr>
          <w:rFonts w:hint="eastAsia" w:asciiTheme="minorEastAsia" w:hAnsiTheme="minorEastAsia" w:eastAsiaTheme="minorEastAsia" w:cstheme="minorEastAsia"/>
          <w:sz w:val="24"/>
          <w:szCs w:val="24"/>
        </w:rPr>
        <w:t>当期维护服务费5%的基础上，每低1分，再</w:t>
      </w:r>
      <w:r>
        <w:rPr>
          <w:rFonts w:hint="eastAsia" w:asciiTheme="minorEastAsia" w:hAnsiTheme="minorEastAsia" w:eastAsiaTheme="minorEastAsia" w:cstheme="minorEastAsia"/>
          <w:sz w:val="24"/>
          <w:szCs w:val="24"/>
          <w:lang w:val="en-US" w:eastAsia="zh-CN"/>
        </w:rPr>
        <w:t>退还</w:t>
      </w:r>
      <w:r>
        <w:rPr>
          <w:rFonts w:hint="eastAsia" w:asciiTheme="minorEastAsia" w:hAnsiTheme="minorEastAsia" w:eastAsiaTheme="minorEastAsia" w:cstheme="minorEastAsia"/>
          <w:sz w:val="24"/>
          <w:szCs w:val="24"/>
        </w:rPr>
        <w:t>当期维护服务费的1%；</w:t>
      </w:r>
    </w:p>
    <w:p>
      <w:pPr>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（4）当维护服务得分低于70分，在</w:t>
      </w:r>
      <w:r>
        <w:rPr>
          <w:rFonts w:hint="eastAsia" w:asciiTheme="minorEastAsia" w:hAnsiTheme="minorEastAsia" w:eastAsiaTheme="minorEastAsia" w:cstheme="minorEastAsia"/>
          <w:sz w:val="24"/>
          <w:szCs w:val="24"/>
          <w:lang w:val="en-US" w:eastAsia="zh-CN"/>
        </w:rPr>
        <w:t>退还</w:t>
      </w:r>
      <w:r>
        <w:rPr>
          <w:rFonts w:hint="eastAsia" w:asciiTheme="minorEastAsia" w:hAnsiTheme="minorEastAsia" w:eastAsiaTheme="minorEastAsia" w:cstheme="minorEastAsia"/>
          <w:sz w:val="24"/>
          <w:szCs w:val="24"/>
        </w:rPr>
        <w:t>当期维护服务费15%的基础上，再</w:t>
      </w:r>
      <w:r>
        <w:rPr>
          <w:rFonts w:hint="eastAsia" w:asciiTheme="minorEastAsia" w:hAnsiTheme="minorEastAsia" w:eastAsiaTheme="minorEastAsia" w:cstheme="minorEastAsia"/>
          <w:sz w:val="24"/>
          <w:szCs w:val="24"/>
          <w:lang w:val="en-US" w:eastAsia="zh-CN"/>
        </w:rPr>
        <w:t>退还</w:t>
      </w:r>
      <w:r>
        <w:rPr>
          <w:rFonts w:hint="eastAsia" w:asciiTheme="minorEastAsia" w:hAnsiTheme="minorEastAsia" w:eastAsiaTheme="minorEastAsia" w:cstheme="minorEastAsia"/>
          <w:sz w:val="24"/>
          <w:szCs w:val="24"/>
        </w:rPr>
        <w:t>当期维护服务费的20%，同时气象局有权解除合同，并要求退还已支付款项。</w:t>
      </w:r>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271"/>
        <w:gridCol w:w="1701"/>
        <w:gridCol w:w="53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2" w:hRule="atLeast"/>
        </w:trPr>
        <w:tc>
          <w:tcPr>
            <w:tcW w:w="1271" w:type="dxa"/>
            <w:vAlign w:val="center"/>
          </w:tcPr>
          <w:p>
            <w:pPr>
              <w:pageBreakBefore w:val="0"/>
              <w:widowControl w:val="0"/>
              <w:kinsoku/>
              <w:wordWrap/>
              <w:overflowPunct/>
              <w:topLinePunct w:val="0"/>
              <w:autoSpaceDE/>
              <w:autoSpaceDN/>
              <w:bidi w:val="0"/>
              <w:snapToGrid/>
              <w:spacing w:line="24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考核机制</w:t>
            </w:r>
          </w:p>
        </w:tc>
        <w:tc>
          <w:tcPr>
            <w:tcW w:w="1701" w:type="dxa"/>
            <w:vAlign w:val="center"/>
          </w:tcPr>
          <w:p>
            <w:pPr>
              <w:pageBreakBefore w:val="0"/>
              <w:widowControl w:val="0"/>
              <w:kinsoku/>
              <w:wordWrap/>
              <w:overflowPunct/>
              <w:topLinePunct w:val="0"/>
              <w:autoSpaceDE/>
              <w:autoSpaceDN/>
              <w:bidi w:val="0"/>
              <w:snapToGrid/>
              <w:spacing w:line="240" w:lineRule="auto"/>
              <w:ind w:firstLine="482" w:firstLineChars="20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考核类型</w:t>
            </w:r>
          </w:p>
        </w:tc>
        <w:tc>
          <w:tcPr>
            <w:tcW w:w="5324" w:type="dxa"/>
            <w:vAlign w:val="center"/>
          </w:tcPr>
          <w:p>
            <w:pPr>
              <w:pageBreakBefore w:val="0"/>
              <w:widowControl w:val="0"/>
              <w:kinsoku/>
              <w:wordWrap/>
              <w:overflowPunct/>
              <w:topLinePunct w:val="0"/>
              <w:autoSpaceDE/>
              <w:autoSpaceDN/>
              <w:bidi w:val="0"/>
              <w:snapToGrid/>
              <w:spacing w:line="240" w:lineRule="auto"/>
              <w:ind w:firstLine="482" w:firstLineChars="20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考核指标说明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71" w:type="dxa"/>
            <w:vMerge w:val="restart"/>
            <w:vAlign w:val="center"/>
          </w:tcPr>
          <w:p>
            <w:pPr>
              <w:pageBreakBefore w:val="0"/>
              <w:widowControl w:val="0"/>
              <w:kinsoku/>
              <w:wordWrap/>
              <w:overflowPunct/>
              <w:topLinePunct w:val="0"/>
              <w:autoSpaceDE/>
              <w:autoSpaceDN/>
              <w:bidi w:val="0"/>
              <w:snapToGrid/>
              <w:spacing w:line="240" w:lineRule="auto"/>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双重评估机制</w:t>
            </w:r>
          </w:p>
        </w:tc>
        <w:tc>
          <w:tcPr>
            <w:tcW w:w="1701" w:type="dxa"/>
            <w:vAlign w:val="center"/>
          </w:tcPr>
          <w:p>
            <w:pPr>
              <w:pageBreakBefore w:val="0"/>
              <w:widowControl w:val="0"/>
              <w:kinsoku/>
              <w:wordWrap/>
              <w:overflowPunct/>
              <w:topLinePunct w:val="0"/>
              <w:autoSpaceDE/>
              <w:autoSpaceDN/>
              <w:bidi w:val="0"/>
              <w:snapToGrid/>
              <w:spacing w:line="240" w:lineRule="auto"/>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综合绩效考核（85分）</w:t>
            </w:r>
          </w:p>
        </w:tc>
        <w:tc>
          <w:tcPr>
            <w:tcW w:w="5324" w:type="dxa"/>
            <w:vAlign w:val="center"/>
          </w:tcPr>
          <w:p>
            <w:pPr>
              <w:pageBreakBefore w:val="0"/>
              <w:widowControl w:val="0"/>
              <w:kinsoku/>
              <w:wordWrap/>
              <w:overflowPunct/>
              <w:topLinePunct w:val="0"/>
              <w:autoSpaceDE/>
              <w:autoSpaceDN/>
              <w:bidi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包括服务响应时间、巡检次数等量化指标；维护服务团队的专业水平、服务态度等满意度评价指标；对维护服务团队的人员管理指标，例会制度等内容。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71" w:type="dxa"/>
            <w:vMerge w:val="continue"/>
            <w:vAlign w:val="center"/>
          </w:tcPr>
          <w:p>
            <w:pPr>
              <w:pageBreakBefore w:val="0"/>
              <w:widowControl w:val="0"/>
              <w:kinsoku/>
              <w:wordWrap/>
              <w:overflowPunct/>
              <w:topLinePunct w:val="0"/>
              <w:autoSpaceDE/>
              <w:autoSpaceDN/>
              <w:bidi w:val="0"/>
              <w:snapToGrid/>
              <w:spacing w:line="240" w:lineRule="auto"/>
              <w:ind w:firstLine="480" w:firstLineChars="200"/>
              <w:jc w:val="center"/>
              <w:rPr>
                <w:rFonts w:hint="eastAsia" w:asciiTheme="minorEastAsia" w:hAnsiTheme="minorEastAsia" w:eastAsiaTheme="minorEastAsia" w:cstheme="minorEastAsia"/>
                <w:sz w:val="24"/>
                <w:szCs w:val="24"/>
              </w:rPr>
            </w:pPr>
          </w:p>
        </w:tc>
        <w:tc>
          <w:tcPr>
            <w:tcW w:w="1701" w:type="dxa"/>
            <w:vAlign w:val="center"/>
          </w:tcPr>
          <w:p>
            <w:pPr>
              <w:pageBreakBefore w:val="0"/>
              <w:widowControl w:val="0"/>
              <w:kinsoku/>
              <w:wordWrap/>
              <w:overflowPunct/>
              <w:topLinePunct w:val="0"/>
              <w:autoSpaceDE/>
              <w:autoSpaceDN/>
              <w:bidi w:val="0"/>
              <w:snapToGrid/>
              <w:spacing w:line="240" w:lineRule="auto"/>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违规红线考核（15分）</w:t>
            </w:r>
          </w:p>
        </w:tc>
        <w:tc>
          <w:tcPr>
            <w:tcW w:w="5324" w:type="dxa"/>
            <w:vAlign w:val="center"/>
          </w:tcPr>
          <w:p>
            <w:pPr>
              <w:pageBreakBefore w:val="0"/>
              <w:widowControl w:val="0"/>
              <w:kinsoku/>
              <w:wordWrap/>
              <w:overflowPunct/>
              <w:topLinePunct w:val="0"/>
              <w:autoSpaceDE/>
              <w:autoSpaceDN/>
              <w:bidi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面向维护服务过程中发生的信息安全事件、泄密事件等情况，设置违规红线等扣分指标，并将扣分指标与服务费结算进行强关联。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2972" w:type="dxa"/>
            <w:gridSpan w:val="2"/>
            <w:vAlign w:val="center"/>
          </w:tcPr>
          <w:p>
            <w:pPr>
              <w:pageBreakBefore w:val="0"/>
              <w:widowControl w:val="0"/>
              <w:kinsoku/>
              <w:wordWrap/>
              <w:overflowPunct/>
              <w:topLinePunct w:val="0"/>
              <w:autoSpaceDE/>
              <w:autoSpaceDN/>
              <w:bidi w:val="0"/>
              <w:snapToGrid/>
              <w:spacing w:line="240" w:lineRule="auto"/>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总分</w:t>
            </w:r>
          </w:p>
        </w:tc>
        <w:tc>
          <w:tcPr>
            <w:tcW w:w="5324" w:type="dxa"/>
            <w:vAlign w:val="center"/>
          </w:tcPr>
          <w:p>
            <w:pPr>
              <w:pageBreakBefore w:val="0"/>
              <w:widowControl w:val="0"/>
              <w:kinsoku/>
              <w:wordWrap/>
              <w:overflowPunct/>
              <w:topLinePunct w:val="0"/>
              <w:autoSpaceDE/>
              <w:autoSpaceDN/>
              <w:bidi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总分=综合绩效考核+违规红线</w:t>
            </w:r>
          </w:p>
        </w:tc>
      </w:tr>
    </w:tbl>
    <w:p>
      <w:pPr>
        <w:pStyle w:val="4"/>
        <w:pageBreakBefore w:val="0"/>
        <w:widowControl w:val="0"/>
        <w:numPr>
          <w:ilvl w:val="2"/>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eastAsia="宋体" w:cstheme="minorEastAsia"/>
          <w:b/>
          <w:bCs/>
          <w:kern w:val="2"/>
          <w:sz w:val="24"/>
          <w:szCs w:val="24"/>
          <w:lang w:val="en-US" w:eastAsia="zh-CN" w:bidi="ar-SA"/>
        </w:rPr>
        <w:t>3</w:t>
      </w:r>
      <w:r>
        <w:rPr>
          <w:rFonts w:hint="eastAsia" w:ascii="Times New Roman" w:hAnsi="Times New Roman" w:eastAsia="宋体" w:cstheme="minorEastAsia"/>
          <w:b/>
          <w:bCs/>
          <w:kern w:val="2"/>
          <w:sz w:val="24"/>
          <w:szCs w:val="24"/>
          <w:lang w:val="en-US" w:eastAsia="zh-CN" w:bidi="ar-SA"/>
        </w:rPr>
        <w:t>.2</w:t>
      </w:r>
      <w:r>
        <w:rPr>
          <w:rFonts w:hint="eastAsia" w:asciiTheme="minorEastAsia" w:hAnsiTheme="minorEastAsia" w:eastAsiaTheme="minorEastAsia" w:cstheme="minorEastAsia"/>
          <w:sz w:val="24"/>
          <w:szCs w:val="24"/>
        </w:rPr>
        <w:t>综合绩效考核</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综合绩效考核包含日常维护、服务满意度、团队配置、制度建设等指标，共85分，详见下表。</w:t>
      </w:r>
    </w:p>
    <w:tbl>
      <w:tblPr>
        <w:tblStyle w:val="12"/>
        <w:tblW w:w="85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98"/>
        <w:gridCol w:w="1267"/>
        <w:gridCol w:w="5110"/>
        <w:gridCol w:w="9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3" w:hRule="atLeast"/>
        </w:trPr>
        <w:tc>
          <w:tcPr>
            <w:tcW w:w="1198" w:type="dxa"/>
            <w:vAlign w:val="center"/>
          </w:tcPr>
          <w:p>
            <w:pPr>
              <w:pStyle w:val="16"/>
              <w:pageBreakBefore w:val="0"/>
              <w:widowControl w:val="0"/>
              <w:kinsoku/>
              <w:wordWrap/>
              <w:overflowPunct/>
              <w:topLinePunct w:val="0"/>
              <w:autoSpaceDE/>
              <w:autoSpaceDN/>
              <w:bidi w:val="0"/>
              <w:adjustRightInd w:val="0"/>
              <w:snapToGrid/>
              <w:spacing w:line="24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考核内容</w:t>
            </w:r>
          </w:p>
        </w:tc>
        <w:tc>
          <w:tcPr>
            <w:tcW w:w="1267" w:type="dxa"/>
            <w:vAlign w:val="center"/>
          </w:tcPr>
          <w:p>
            <w:pPr>
              <w:pStyle w:val="16"/>
              <w:pageBreakBefore w:val="0"/>
              <w:widowControl w:val="0"/>
              <w:kinsoku/>
              <w:wordWrap/>
              <w:overflowPunct/>
              <w:topLinePunct w:val="0"/>
              <w:autoSpaceDE/>
              <w:autoSpaceDN/>
              <w:bidi w:val="0"/>
              <w:adjustRightInd w:val="0"/>
              <w:snapToGrid/>
              <w:spacing w:line="24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考核项目</w:t>
            </w:r>
          </w:p>
        </w:tc>
        <w:tc>
          <w:tcPr>
            <w:tcW w:w="5110" w:type="dxa"/>
            <w:vAlign w:val="center"/>
          </w:tcPr>
          <w:p>
            <w:pPr>
              <w:pStyle w:val="16"/>
              <w:pageBreakBefore w:val="0"/>
              <w:widowControl w:val="0"/>
              <w:kinsoku/>
              <w:wordWrap/>
              <w:overflowPunct/>
              <w:topLinePunct w:val="0"/>
              <w:autoSpaceDE/>
              <w:autoSpaceDN/>
              <w:bidi w:val="0"/>
              <w:adjustRightInd w:val="0"/>
              <w:snapToGrid/>
              <w:spacing w:line="24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考核计分说明</w:t>
            </w:r>
          </w:p>
        </w:tc>
        <w:tc>
          <w:tcPr>
            <w:tcW w:w="963" w:type="dxa"/>
            <w:vAlign w:val="center"/>
          </w:tcPr>
          <w:p>
            <w:pPr>
              <w:pStyle w:val="16"/>
              <w:pageBreakBefore w:val="0"/>
              <w:widowControl w:val="0"/>
              <w:kinsoku/>
              <w:wordWrap/>
              <w:overflowPunct/>
              <w:topLinePunct w:val="0"/>
              <w:autoSpaceDE/>
              <w:autoSpaceDN/>
              <w:bidi w:val="0"/>
              <w:adjustRightInd w:val="0"/>
              <w:snapToGrid/>
              <w:spacing w:line="24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3" w:hRule="atLeast"/>
        </w:trPr>
        <w:tc>
          <w:tcPr>
            <w:tcW w:w="1198" w:type="dxa"/>
            <w:vMerge w:val="restart"/>
            <w:vAlign w:val="center"/>
          </w:tcPr>
          <w:p>
            <w:pPr>
              <w:pStyle w:val="16"/>
              <w:pageBreakBefore w:val="0"/>
              <w:widowControl w:val="0"/>
              <w:kinsoku/>
              <w:wordWrap/>
              <w:overflowPunct/>
              <w:topLinePunct w:val="0"/>
              <w:autoSpaceDE/>
              <w:autoSpaceDN/>
              <w:bidi w:val="0"/>
              <w:adjustRightInd w:val="0"/>
              <w:snapToGrid/>
              <w:spacing w:line="24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日常维护（25分）</w:t>
            </w:r>
          </w:p>
        </w:tc>
        <w:tc>
          <w:tcPr>
            <w:tcW w:w="1267" w:type="dxa"/>
            <w:vAlign w:val="center"/>
          </w:tcPr>
          <w:p>
            <w:pPr>
              <w:pStyle w:val="16"/>
              <w:pageBreakBefore w:val="0"/>
              <w:widowControl w:val="0"/>
              <w:kinsoku/>
              <w:wordWrap/>
              <w:overflowPunct/>
              <w:topLinePunct w:val="0"/>
              <w:autoSpaceDE/>
              <w:autoSpaceDN/>
              <w:bidi w:val="0"/>
              <w:adjustRightInd w:val="0"/>
              <w:snapToGrid/>
              <w:spacing w:line="24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服务响应时间</w:t>
            </w:r>
          </w:p>
        </w:tc>
        <w:tc>
          <w:tcPr>
            <w:tcW w:w="5110"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记录每次服务响应时间，每超过一次服务响应时间扣0.5分，扣完为止。</w:t>
            </w:r>
          </w:p>
        </w:tc>
        <w:tc>
          <w:tcPr>
            <w:tcW w:w="963"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4" w:hRule="atLeast"/>
        </w:trPr>
        <w:tc>
          <w:tcPr>
            <w:tcW w:w="1198" w:type="dxa"/>
            <w:vMerge w:val="continue"/>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p>
        </w:tc>
        <w:tc>
          <w:tcPr>
            <w:tcW w:w="1267" w:type="dxa"/>
            <w:vAlign w:val="center"/>
          </w:tcPr>
          <w:p>
            <w:pPr>
              <w:pStyle w:val="16"/>
              <w:pageBreakBefore w:val="0"/>
              <w:widowControl w:val="0"/>
              <w:kinsoku/>
              <w:wordWrap/>
              <w:overflowPunct/>
              <w:topLinePunct w:val="0"/>
              <w:autoSpaceDE/>
              <w:autoSpaceDN/>
              <w:bidi w:val="0"/>
              <w:adjustRightInd w:val="0"/>
              <w:snapToGrid/>
              <w:spacing w:line="24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巡检</w:t>
            </w:r>
          </w:p>
        </w:tc>
        <w:tc>
          <w:tcPr>
            <w:tcW w:w="5110"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每日至少巡检一次，包括系统运行情况、后台日志等，并提供巡检记录，每缺少一次巡检扣1分，扣完为止。</w:t>
            </w:r>
          </w:p>
        </w:tc>
        <w:tc>
          <w:tcPr>
            <w:tcW w:w="963"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4" w:hRule="atLeast"/>
        </w:trPr>
        <w:tc>
          <w:tcPr>
            <w:tcW w:w="1198" w:type="dxa"/>
            <w:vMerge w:val="continue"/>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p>
        </w:tc>
        <w:tc>
          <w:tcPr>
            <w:tcW w:w="1267" w:type="dxa"/>
            <w:vAlign w:val="center"/>
          </w:tcPr>
          <w:p>
            <w:pPr>
              <w:pStyle w:val="16"/>
              <w:pageBreakBefore w:val="0"/>
              <w:widowControl w:val="0"/>
              <w:kinsoku/>
              <w:wordWrap/>
              <w:overflowPunct/>
              <w:topLinePunct w:val="0"/>
              <w:autoSpaceDE/>
              <w:autoSpaceDN/>
              <w:bidi w:val="0"/>
              <w:adjustRightInd w:val="0"/>
              <w:snapToGrid/>
              <w:spacing w:line="24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安全响应</w:t>
            </w:r>
          </w:p>
        </w:tc>
        <w:tc>
          <w:tcPr>
            <w:tcW w:w="5110"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对每次发现的漏洞、安全事件进行处理，并提供处理记录，对未处理事件，每增加一次扣1分，扣完为止。</w:t>
            </w:r>
          </w:p>
        </w:tc>
        <w:tc>
          <w:tcPr>
            <w:tcW w:w="963"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7" w:hRule="atLeast"/>
        </w:trPr>
        <w:tc>
          <w:tcPr>
            <w:tcW w:w="1198" w:type="dxa"/>
            <w:vMerge w:val="continue"/>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p>
        </w:tc>
        <w:tc>
          <w:tcPr>
            <w:tcW w:w="1267" w:type="dxa"/>
            <w:vAlign w:val="center"/>
          </w:tcPr>
          <w:p>
            <w:pPr>
              <w:pStyle w:val="16"/>
              <w:pageBreakBefore w:val="0"/>
              <w:widowControl w:val="0"/>
              <w:kinsoku/>
              <w:wordWrap/>
              <w:overflowPunct/>
              <w:topLinePunct w:val="0"/>
              <w:autoSpaceDE/>
              <w:autoSpaceDN/>
              <w:bidi w:val="0"/>
              <w:adjustRightInd w:val="0"/>
              <w:snapToGrid/>
              <w:spacing w:line="24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功能开发</w:t>
            </w:r>
          </w:p>
        </w:tc>
        <w:tc>
          <w:tcPr>
            <w:tcW w:w="5110"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完成气象局要求的接口开发、系统优化等功能开发任务，并提供开发记录，对未完成的任务，每增加一次扣0.5分，扣完为止。</w:t>
            </w:r>
          </w:p>
        </w:tc>
        <w:tc>
          <w:tcPr>
            <w:tcW w:w="963"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1" w:hRule="atLeast"/>
        </w:trPr>
        <w:tc>
          <w:tcPr>
            <w:tcW w:w="1198" w:type="dxa"/>
            <w:vMerge w:val="continue"/>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p>
        </w:tc>
        <w:tc>
          <w:tcPr>
            <w:tcW w:w="1267" w:type="dxa"/>
            <w:vAlign w:val="center"/>
          </w:tcPr>
          <w:p>
            <w:pPr>
              <w:pStyle w:val="16"/>
              <w:pageBreakBefore w:val="0"/>
              <w:widowControl w:val="0"/>
              <w:kinsoku/>
              <w:wordWrap/>
              <w:overflowPunct/>
              <w:topLinePunct w:val="0"/>
              <w:autoSpaceDE/>
              <w:autoSpaceDN/>
              <w:bidi w:val="0"/>
              <w:adjustRightInd w:val="0"/>
              <w:snapToGrid/>
              <w:spacing w:line="24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遵守用户管理办法</w:t>
            </w:r>
          </w:p>
        </w:tc>
        <w:tc>
          <w:tcPr>
            <w:tcW w:w="5110"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服务人员需遵守用户各项管理办法，包括上下班时间、值班要求、请假制度等，如有违反视情况扣1-5分。</w:t>
            </w:r>
          </w:p>
        </w:tc>
        <w:tc>
          <w:tcPr>
            <w:tcW w:w="963"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3" w:hRule="atLeast"/>
        </w:trPr>
        <w:tc>
          <w:tcPr>
            <w:tcW w:w="1198" w:type="dxa"/>
            <w:vMerge w:val="restart"/>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服务满意度</w:t>
            </w:r>
          </w:p>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（20分）</w:t>
            </w:r>
          </w:p>
        </w:tc>
        <w:tc>
          <w:tcPr>
            <w:tcW w:w="1267" w:type="dxa"/>
            <w:vAlign w:val="center"/>
          </w:tcPr>
          <w:p>
            <w:pPr>
              <w:pStyle w:val="16"/>
              <w:pageBreakBefore w:val="0"/>
              <w:widowControl w:val="0"/>
              <w:kinsoku/>
              <w:wordWrap/>
              <w:overflowPunct/>
              <w:topLinePunct w:val="0"/>
              <w:autoSpaceDE/>
              <w:autoSpaceDN/>
              <w:bidi w:val="0"/>
              <w:adjustRightInd w:val="0"/>
              <w:snapToGrid/>
              <w:spacing w:line="24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工作专注度</w:t>
            </w:r>
          </w:p>
        </w:tc>
        <w:tc>
          <w:tcPr>
            <w:tcW w:w="5110"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工作时段发现从事与本项目无关的活动，每发现1次扣1分，扣完为止。</w:t>
            </w:r>
          </w:p>
        </w:tc>
        <w:tc>
          <w:tcPr>
            <w:tcW w:w="963"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75" w:hRule="atLeast"/>
        </w:trPr>
        <w:tc>
          <w:tcPr>
            <w:tcW w:w="1198" w:type="dxa"/>
            <w:vMerge w:val="continue"/>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p>
        </w:tc>
        <w:tc>
          <w:tcPr>
            <w:tcW w:w="1267" w:type="dxa"/>
            <w:vAlign w:val="center"/>
          </w:tcPr>
          <w:p>
            <w:pPr>
              <w:pStyle w:val="16"/>
              <w:pageBreakBefore w:val="0"/>
              <w:widowControl w:val="0"/>
              <w:kinsoku/>
              <w:wordWrap/>
              <w:overflowPunct/>
              <w:topLinePunct w:val="0"/>
              <w:autoSpaceDE/>
              <w:autoSpaceDN/>
              <w:bidi w:val="0"/>
              <w:adjustRightInd w:val="0"/>
              <w:snapToGrid/>
              <w:spacing w:line="24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技术能力满意度</w:t>
            </w:r>
          </w:p>
        </w:tc>
        <w:tc>
          <w:tcPr>
            <w:tcW w:w="5110"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气象局每季度对维护人员技术能力进行满意度评价，评价结果分为非常满意、满意、基本满意、不满意四个级别，非常满意和满意不扣分、基本满意扣1分、不满意扣3分。</w:t>
            </w:r>
          </w:p>
        </w:tc>
        <w:tc>
          <w:tcPr>
            <w:tcW w:w="963"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38" w:hRule="atLeast"/>
        </w:trPr>
        <w:tc>
          <w:tcPr>
            <w:tcW w:w="1198" w:type="dxa"/>
            <w:vMerge w:val="continue"/>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p>
        </w:tc>
        <w:tc>
          <w:tcPr>
            <w:tcW w:w="1267" w:type="dxa"/>
            <w:vMerge w:val="restart"/>
            <w:vAlign w:val="center"/>
          </w:tcPr>
          <w:p>
            <w:pPr>
              <w:pStyle w:val="16"/>
              <w:pageBreakBefore w:val="0"/>
              <w:widowControl w:val="0"/>
              <w:kinsoku/>
              <w:wordWrap/>
              <w:overflowPunct/>
              <w:topLinePunct w:val="0"/>
              <w:autoSpaceDE/>
              <w:autoSpaceDN/>
              <w:bidi w:val="0"/>
              <w:adjustRightInd w:val="0"/>
              <w:snapToGrid/>
              <w:spacing w:line="24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工作成果满意度</w:t>
            </w:r>
          </w:p>
        </w:tc>
        <w:tc>
          <w:tcPr>
            <w:tcW w:w="5110"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气象局每季度对提交的工作方案、总结、报告等工作成果的质量进行满意度评价，评价结果分为非常满意、满意、基本满意、不满意四个级别，非常满意和满意不扣分、基本满意扣1分、不满意扣3分。</w:t>
            </w:r>
          </w:p>
        </w:tc>
        <w:tc>
          <w:tcPr>
            <w:tcW w:w="963"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3" w:hRule="atLeast"/>
        </w:trPr>
        <w:tc>
          <w:tcPr>
            <w:tcW w:w="1198" w:type="dxa"/>
            <w:vMerge w:val="continue"/>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p>
        </w:tc>
        <w:tc>
          <w:tcPr>
            <w:tcW w:w="1267" w:type="dxa"/>
            <w:vMerge w:val="continue"/>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p>
        </w:tc>
        <w:tc>
          <w:tcPr>
            <w:tcW w:w="5110"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对于提交维护工程成果资料延期的情况，超过4周扣4分，超过2周扣3分，超过1周扣2分，按时提交不扣分。</w:t>
            </w:r>
          </w:p>
        </w:tc>
        <w:tc>
          <w:tcPr>
            <w:tcW w:w="963"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trPr>
        <w:tc>
          <w:tcPr>
            <w:tcW w:w="1198" w:type="dxa"/>
            <w:vMerge w:val="continue"/>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p>
        </w:tc>
        <w:tc>
          <w:tcPr>
            <w:tcW w:w="1267" w:type="dxa"/>
            <w:vMerge w:val="restart"/>
            <w:vAlign w:val="center"/>
          </w:tcPr>
          <w:p>
            <w:pPr>
              <w:pStyle w:val="16"/>
              <w:pageBreakBefore w:val="0"/>
              <w:widowControl w:val="0"/>
              <w:kinsoku/>
              <w:wordWrap/>
              <w:overflowPunct/>
              <w:topLinePunct w:val="0"/>
              <w:autoSpaceDE/>
              <w:autoSpaceDN/>
              <w:bidi w:val="0"/>
              <w:adjustRightInd w:val="0"/>
              <w:snapToGrid/>
              <w:spacing w:line="24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用户满意度</w:t>
            </w:r>
          </w:p>
        </w:tc>
        <w:tc>
          <w:tcPr>
            <w:tcW w:w="5110"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气象局对维护单位每发生一次投诉扣0.5分，扣完为止。</w:t>
            </w:r>
          </w:p>
        </w:tc>
        <w:tc>
          <w:tcPr>
            <w:tcW w:w="963"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trPr>
        <w:tc>
          <w:tcPr>
            <w:tcW w:w="1198" w:type="dxa"/>
            <w:vMerge w:val="continue"/>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p>
        </w:tc>
        <w:tc>
          <w:tcPr>
            <w:tcW w:w="1267" w:type="dxa"/>
            <w:vMerge w:val="continue"/>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p>
        </w:tc>
        <w:tc>
          <w:tcPr>
            <w:tcW w:w="5110"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气象局每季度对整体维护服务质量进行满意度评价。评价结果分为非常满意、满意、基本满意、不满意四个级别，非常满意和满意不扣分、基本满意扣1分、不满意扣3分。</w:t>
            </w:r>
          </w:p>
        </w:tc>
        <w:tc>
          <w:tcPr>
            <w:tcW w:w="963"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9" w:hRule="atLeast"/>
        </w:trPr>
        <w:tc>
          <w:tcPr>
            <w:tcW w:w="1198" w:type="dxa"/>
            <w:vMerge w:val="restart"/>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团队管理（15分）</w:t>
            </w:r>
          </w:p>
        </w:tc>
        <w:tc>
          <w:tcPr>
            <w:tcW w:w="1267" w:type="dxa"/>
            <w:vAlign w:val="center"/>
          </w:tcPr>
          <w:p>
            <w:pPr>
              <w:pStyle w:val="16"/>
              <w:pageBreakBefore w:val="0"/>
              <w:widowControl w:val="0"/>
              <w:kinsoku/>
              <w:wordWrap/>
              <w:overflowPunct/>
              <w:topLinePunct w:val="0"/>
              <w:autoSpaceDE/>
              <w:autoSpaceDN/>
              <w:bidi w:val="0"/>
              <w:adjustRightInd w:val="0"/>
              <w:snapToGrid/>
              <w:spacing w:line="24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团队配置</w:t>
            </w:r>
          </w:p>
        </w:tc>
        <w:tc>
          <w:tcPr>
            <w:tcW w:w="5110"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对配置满足维护服务需求的团队，不扣分；对未配置满足人数要求、技术要求的服务团队，视情况扣1-10分；若扣除10分，气象局有权解除合同，并退回已支付款项。</w:t>
            </w:r>
          </w:p>
        </w:tc>
        <w:tc>
          <w:tcPr>
            <w:tcW w:w="963"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1" w:hRule="atLeast"/>
        </w:trPr>
        <w:tc>
          <w:tcPr>
            <w:tcW w:w="1198" w:type="dxa"/>
            <w:vMerge w:val="continue"/>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p>
        </w:tc>
        <w:tc>
          <w:tcPr>
            <w:tcW w:w="1267" w:type="dxa"/>
            <w:vAlign w:val="center"/>
          </w:tcPr>
          <w:p>
            <w:pPr>
              <w:pStyle w:val="16"/>
              <w:pageBreakBefore w:val="0"/>
              <w:widowControl w:val="0"/>
              <w:kinsoku/>
              <w:wordWrap/>
              <w:overflowPunct/>
              <w:topLinePunct w:val="0"/>
              <w:autoSpaceDE/>
              <w:autoSpaceDN/>
              <w:bidi w:val="0"/>
              <w:adjustRightInd w:val="0"/>
              <w:snapToGrid/>
              <w:spacing w:line="24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工作积极性</w:t>
            </w:r>
          </w:p>
        </w:tc>
        <w:tc>
          <w:tcPr>
            <w:tcW w:w="5110"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维护服务团队可积极主动执行维护任务，不扣分；维护服务团队消极怠工、拖延任务、敷衍了事、频繁出错的，视情况扣1-5分。</w:t>
            </w:r>
          </w:p>
        </w:tc>
        <w:tc>
          <w:tcPr>
            <w:tcW w:w="963"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75" w:hRule="atLeast"/>
        </w:trPr>
        <w:tc>
          <w:tcPr>
            <w:tcW w:w="1198" w:type="dxa"/>
            <w:vMerge w:val="restart"/>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制度和档案建设（15分）</w:t>
            </w:r>
          </w:p>
        </w:tc>
        <w:tc>
          <w:tcPr>
            <w:tcW w:w="1267" w:type="dxa"/>
            <w:vAlign w:val="center"/>
          </w:tcPr>
          <w:p>
            <w:pPr>
              <w:pStyle w:val="16"/>
              <w:pageBreakBefore w:val="0"/>
              <w:widowControl w:val="0"/>
              <w:kinsoku/>
              <w:wordWrap/>
              <w:overflowPunct/>
              <w:topLinePunct w:val="0"/>
              <w:autoSpaceDE/>
              <w:autoSpaceDN/>
              <w:bidi w:val="0"/>
              <w:adjustRightInd w:val="0"/>
              <w:snapToGrid/>
              <w:spacing w:line="24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制度健全性</w:t>
            </w:r>
          </w:p>
        </w:tc>
        <w:tc>
          <w:tcPr>
            <w:tcW w:w="5110"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维护服务团队建立健全运维管理制度，至少包括工作制度、行为规范、工作流程，制度完善不扣分，缺项或落地性差视情况扣分1-5分。</w:t>
            </w:r>
          </w:p>
        </w:tc>
        <w:tc>
          <w:tcPr>
            <w:tcW w:w="963"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22" w:hRule="atLeast"/>
        </w:trPr>
        <w:tc>
          <w:tcPr>
            <w:tcW w:w="1198" w:type="dxa"/>
            <w:vMerge w:val="continue"/>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p>
        </w:tc>
        <w:tc>
          <w:tcPr>
            <w:tcW w:w="1267" w:type="dxa"/>
            <w:vAlign w:val="center"/>
          </w:tcPr>
          <w:p>
            <w:pPr>
              <w:pStyle w:val="16"/>
              <w:pageBreakBefore w:val="0"/>
              <w:widowControl w:val="0"/>
              <w:kinsoku/>
              <w:wordWrap/>
              <w:overflowPunct/>
              <w:topLinePunct w:val="0"/>
              <w:autoSpaceDE/>
              <w:autoSpaceDN/>
              <w:bidi w:val="0"/>
              <w:adjustRightInd w:val="0"/>
              <w:snapToGrid/>
              <w:spacing w:line="24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档案清单</w:t>
            </w:r>
          </w:p>
        </w:tc>
        <w:tc>
          <w:tcPr>
            <w:tcW w:w="5110"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维护服务团队建立维护服务对象清单、应急预案、技术资料档案，档案完备不扣分，档案缺项视情况扣1-4分，未建立上述档案扣5分。</w:t>
            </w:r>
          </w:p>
        </w:tc>
        <w:tc>
          <w:tcPr>
            <w:tcW w:w="963"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3" w:hRule="atLeast"/>
        </w:trPr>
        <w:tc>
          <w:tcPr>
            <w:tcW w:w="1198" w:type="dxa"/>
            <w:vMerge w:val="continue"/>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p>
        </w:tc>
        <w:tc>
          <w:tcPr>
            <w:tcW w:w="1267" w:type="dxa"/>
            <w:vAlign w:val="center"/>
          </w:tcPr>
          <w:p>
            <w:pPr>
              <w:pStyle w:val="16"/>
              <w:pageBreakBefore w:val="0"/>
              <w:widowControl w:val="0"/>
              <w:kinsoku/>
              <w:wordWrap/>
              <w:overflowPunct/>
              <w:topLinePunct w:val="0"/>
              <w:autoSpaceDE/>
              <w:autoSpaceDN/>
              <w:bidi w:val="0"/>
              <w:adjustRightInd w:val="0"/>
              <w:snapToGrid/>
              <w:spacing w:line="24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维护记录</w:t>
            </w:r>
          </w:p>
        </w:tc>
        <w:tc>
          <w:tcPr>
            <w:tcW w:w="5110"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维护服务团队对运维过程进行记录，每缺少一次扣0.5分，扣完为止。</w:t>
            </w:r>
          </w:p>
        </w:tc>
        <w:tc>
          <w:tcPr>
            <w:tcW w:w="963"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1" w:hRule="atLeast"/>
        </w:trPr>
        <w:tc>
          <w:tcPr>
            <w:tcW w:w="1198" w:type="dxa"/>
            <w:vMerge w:val="restart"/>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例会制度（10分）</w:t>
            </w:r>
          </w:p>
        </w:tc>
        <w:tc>
          <w:tcPr>
            <w:tcW w:w="1267" w:type="dxa"/>
            <w:vAlign w:val="center"/>
          </w:tcPr>
          <w:p>
            <w:pPr>
              <w:pStyle w:val="16"/>
              <w:pageBreakBefore w:val="0"/>
              <w:widowControl w:val="0"/>
              <w:kinsoku/>
              <w:wordWrap/>
              <w:overflowPunct/>
              <w:topLinePunct w:val="0"/>
              <w:autoSpaceDE/>
              <w:autoSpaceDN/>
              <w:bidi w:val="0"/>
              <w:adjustRightInd w:val="0"/>
              <w:snapToGrid/>
              <w:spacing w:line="24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例会次数</w:t>
            </w:r>
          </w:p>
        </w:tc>
        <w:tc>
          <w:tcPr>
            <w:tcW w:w="5110"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服务周期内，气象局与维护服务单位建立周例会制度，气象局提前一周确定下一次例会时间，对因维护服务单位原因取消周例会的情况，每取消一次扣0.5分，扣完为止。</w:t>
            </w:r>
          </w:p>
        </w:tc>
        <w:tc>
          <w:tcPr>
            <w:tcW w:w="963"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8" w:hRule="atLeast"/>
        </w:trPr>
        <w:tc>
          <w:tcPr>
            <w:tcW w:w="1198" w:type="dxa"/>
            <w:vMerge w:val="continue"/>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p>
        </w:tc>
        <w:tc>
          <w:tcPr>
            <w:tcW w:w="1267" w:type="dxa"/>
            <w:vAlign w:val="center"/>
          </w:tcPr>
          <w:p>
            <w:pPr>
              <w:pStyle w:val="16"/>
              <w:pageBreakBefore w:val="0"/>
              <w:widowControl w:val="0"/>
              <w:kinsoku/>
              <w:wordWrap/>
              <w:overflowPunct/>
              <w:topLinePunct w:val="0"/>
              <w:autoSpaceDE/>
              <w:autoSpaceDN/>
              <w:bidi w:val="0"/>
              <w:adjustRightInd w:val="0"/>
              <w:snapToGrid/>
              <w:spacing w:line="24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会议记录</w:t>
            </w:r>
          </w:p>
        </w:tc>
        <w:tc>
          <w:tcPr>
            <w:tcW w:w="5110"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运维服务单位负责撰写会议记录，每缺少一次记录扣0.5分，扣完为止。</w:t>
            </w:r>
          </w:p>
        </w:tc>
        <w:tc>
          <w:tcPr>
            <w:tcW w:w="963" w:type="dxa"/>
            <w:vAlign w:val="center"/>
          </w:tcPr>
          <w:p>
            <w:pPr>
              <w:pStyle w:val="16"/>
              <w:pageBreakBefore w:val="0"/>
              <w:widowControl w:val="0"/>
              <w:kinsoku/>
              <w:wordWrap/>
              <w:overflowPunct/>
              <w:topLinePunct w:val="0"/>
              <w:autoSpaceDE/>
              <w:autoSpaceDN/>
              <w:bidi w:val="0"/>
              <w:adjustRightInd w:val="0"/>
              <w:snapToGrid/>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bl>
    <w:p>
      <w:pPr>
        <w:pStyle w:val="4"/>
        <w:pageBreakBefore w:val="0"/>
        <w:widowControl w:val="0"/>
        <w:numPr>
          <w:ilvl w:val="2"/>
          <w:numId w:val="0"/>
        </w:numPr>
        <w:kinsoku/>
        <w:wordWrap/>
        <w:overflowPunct/>
        <w:topLinePunct w:val="0"/>
        <w:autoSpaceDE/>
        <w:autoSpaceDN/>
        <w:bidi w:val="0"/>
        <w:snapToGrid/>
        <w:spacing w:line="360" w:lineRule="auto"/>
        <w:ind w:left="0" w:leftChars="0" w:firstLine="482" w:firstLineChars="200"/>
        <w:rPr>
          <w:rFonts w:hint="eastAsia" w:asciiTheme="minorEastAsia" w:hAnsiTheme="minorEastAsia" w:eastAsiaTheme="minorEastAsia" w:cstheme="minorEastAsia"/>
          <w:sz w:val="24"/>
          <w:szCs w:val="24"/>
        </w:rPr>
      </w:pPr>
      <w:r>
        <w:rPr>
          <w:rFonts w:hint="eastAsia" w:eastAsia="宋体" w:cstheme="minorEastAsia"/>
          <w:b/>
          <w:bCs/>
          <w:kern w:val="2"/>
          <w:sz w:val="24"/>
          <w:szCs w:val="24"/>
          <w:lang w:val="en-US" w:eastAsia="zh-CN" w:bidi="ar-SA"/>
        </w:rPr>
        <w:t>3</w:t>
      </w:r>
      <w:r>
        <w:rPr>
          <w:rFonts w:hint="eastAsia" w:ascii="Times New Roman" w:hAnsi="Times New Roman" w:eastAsia="宋体" w:cstheme="minorEastAsia"/>
          <w:b/>
          <w:bCs/>
          <w:kern w:val="2"/>
          <w:sz w:val="24"/>
          <w:szCs w:val="24"/>
          <w:lang w:val="en-US" w:eastAsia="zh-CN" w:bidi="ar-SA"/>
        </w:rPr>
        <w:t>.3</w:t>
      </w:r>
      <w:r>
        <w:rPr>
          <w:rFonts w:hint="eastAsia" w:asciiTheme="minorEastAsia" w:hAnsiTheme="minorEastAsia" w:eastAsiaTheme="minorEastAsia" w:cstheme="minorEastAsia"/>
          <w:sz w:val="24"/>
          <w:szCs w:val="24"/>
        </w:rPr>
        <w:t>违规红线考核</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向维护服务过程中发生的信息安全事件、网络安全、泄密事件等情况，维护管理单位应设置违规红线等扣分机制，共15分。如出现扣分情况，每扣除1分则直接扣除当期相关系统维护服务费用1%；若扣除10分，气象局有权解除合同，并退回已支付款项，详见下表。</w:t>
      </w:r>
    </w:p>
    <w:tbl>
      <w:tblPr>
        <w:tblStyle w:val="12"/>
        <w:tblW w:w="835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305"/>
        <w:gridCol w:w="6117"/>
        <w:gridCol w:w="93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39" w:hRule="atLeast"/>
        </w:trPr>
        <w:tc>
          <w:tcPr>
            <w:tcW w:w="1305" w:type="dxa"/>
            <w:vAlign w:val="center"/>
          </w:tcPr>
          <w:p>
            <w:pPr>
              <w:pStyle w:val="16"/>
              <w:pageBreakBefore w:val="0"/>
              <w:widowControl w:val="0"/>
              <w:kinsoku/>
              <w:wordWrap/>
              <w:overflowPunct/>
              <w:topLinePunct w:val="0"/>
              <w:autoSpaceDE/>
              <w:autoSpaceDN/>
              <w:bidi w:val="0"/>
              <w:snapToGrid/>
              <w:spacing w:line="24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考核类型</w:t>
            </w:r>
          </w:p>
        </w:tc>
        <w:tc>
          <w:tcPr>
            <w:tcW w:w="6117" w:type="dxa"/>
            <w:vAlign w:val="center"/>
          </w:tcPr>
          <w:p>
            <w:pPr>
              <w:pStyle w:val="16"/>
              <w:pageBreakBefore w:val="0"/>
              <w:widowControl w:val="0"/>
              <w:kinsoku/>
              <w:wordWrap/>
              <w:overflowPunct/>
              <w:topLinePunct w:val="0"/>
              <w:autoSpaceDE/>
              <w:autoSpaceDN/>
              <w:bidi w:val="0"/>
              <w:snapToGrid/>
              <w:spacing w:line="24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考核说明</w:t>
            </w:r>
          </w:p>
        </w:tc>
        <w:tc>
          <w:tcPr>
            <w:tcW w:w="937" w:type="dxa"/>
            <w:vAlign w:val="center"/>
          </w:tcPr>
          <w:p>
            <w:pPr>
              <w:pStyle w:val="16"/>
              <w:pageBreakBefore w:val="0"/>
              <w:widowControl w:val="0"/>
              <w:kinsoku/>
              <w:wordWrap/>
              <w:overflowPunct/>
              <w:topLinePunct w:val="0"/>
              <w:autoSpaceDE/>
              <w:autoSpaceDN/>
              <w:bidi w:val="0"/>
              <w:snapToGrid/>
              <w:spacing w:line="24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05" w:type="dxa"/>
            <w:vAlign w:val="center"/>
          </w:tcPr>
          <w:p>
            <w:pPr>
              <w:pStyle w:val="16"/>
              <w:pageBreakBefore w:val="0"/>
              <w:widowControl w:val="0"/>
              <w:kinsoku/>
              <w:wordWrap/>
              <w:overflowPunct/>
              <w:topLinePunct w:val="0"/>
              <w:autoSpaceDE/>
              <w:autoSpaceDN/>
              <w:bidi w:val="0"/>
              <w:snapToGrid/>
              <w:spacing w:line="24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信息安全</w:t>
            </w:r>
          </w:p>
        </w:tc>
        <w:tc>
          <w:tcPr>
            <w:tcW w:w="6117" w:type="dxa"/>
            <w:vAlign w:val="center"/>
          </w:tcPr>
          <w:p>
            <w:pPr>
              <w:pStyle w:val="16"/>
              <w:pageBreakBefore w:val="0"/>
              <w:widowControl w:val="0"/>
              <w:kinsoku/>
              <w:wordWrap/>
              <w:overflowPunct/>
              <w:topLinePunct w:val="0"/>
              <w:autoSpaceDE/>
              <w:autoSpaceDN/>
              <w:bidi w:val="0"/>
              <w:snapToGrid/>
              <w:spacing w:line="24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由于维护服务团队人员失误造成业务系统出现数据丢失、篡改等情况，视情况扣1-5分。</w:t>
            </w:r>
          </w:p>
        </w:tc>
        <w:tc>
          <w:tcPr>
            <w:tcW w:w="937" w:type="dxa"/>
            <w:vAlign w:val="center"/>
          </w:tcPr>
          <w:p>
            <w:pPr>
              <w:pStyle w:val="16"/>
              <w:pageBreakBefore w:val="0"/>
              <w:widowControl w:val="0"/>
              <w:kinsoku/>
              <w:wordWrap/>
              <w:overflowPunct/>
              <w:topLinePunct w:val="0"/>
              <w:autoSpaceDE/>
              <w:autoSpaceDN/>
              <w:bidi w:val="0"/>
              <w:snapToGrid/>
              <w:spacing w:line="24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05" w:type="dxa"/>
            <w:vAlign w:val="center"/>
          </w:tcPr>
          <w:p>
            <w:pPr>
              <w:pStyle w:val="16"/>
              <w:pageBreakBefore w:val="0"/>
              <w:widowControl w:val="0"/>
              <w:kinsoku/>
              <w:wordWrap/>
              <w:overflowPunct/>
              <w:topLinePunct w:val="0"/>
              <w:autoSpaceDE/>
              <w:autoSpaceDN/>
              <w:bidi w:val="0"/>
              <w:snapToGrid/>
              <w:spacing w:line="24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网络安全</w:t>
            </w:r>
          </w:p>
        </w:tc>
        <w:tc>
          <w:tcPr>
            <w:tcW w:w="6117" w:type="dxa"/>
            <w:vAlign w:val="center"/>
          </w:tcPr>
          <w:p>
            <w:pPr>
              <w:pStyle w:val="16"/>
              <w:pageBreakBefore w:val="0"/>
              <w:widowControl w:val="0"/>
              <w:kinsoku/>
              <w:wordWrap/>
              <w:overflowPunct/>
              <w:topLinePunct w:val="0"/>
              <w:autoSpaceDE/>
              <w:autoSpaceDN/>
              <w:bidi w:val="0"/>
              <w:snapToGrid/>
              <w:spacing w:line="24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因维护团队自身失误导致发生重大网络事件，视情况扣1-5分，不可抗力因素除外。</w:t>
            </w:r>
          </w:p>
        </w:tc>
        <w:tc>
          <w:tcPr>
            <w:tcW w:w="937" w:type="dxa"/>
            <w:vAlign w:val="center"/>
          </w:tcPr>
          <w:p>
            <w:pPr>
              <w:pStyle w:val="16"/>
              <w:pageBreakBefore w:val="0"/>
              <w:widowControl w:val="0"/>
              <w:kinsoku/>
              <w:wordWrap/>
              <w:overflowPunct/>
              <w:topLinePunct w:val="0"/>
              <w:autoSpaceDE/>
              <w:autoSpaceDN/>
              <w:bidi w:val="0"/>
              <w:snapToGrid/>
              <w:spacing w:line="24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05" w:type="dxa"/>
            <w:vAlign w:val="center"/>
          </w:tcPr>
          <w:p>
            <w:pPr>
              <w:pStyle w:val="16"/>
              <w:pageBreakBefore w:val="0"/>
              <w:widowControl w:val="0"/>
              <w:kinsoku/>
              <w:wordWrap/>
              <w:overflowPunct/>
              <w:topLinePunct w:val="0"/>
              <w:autoSpaceDE/>
              <w:autoSpaceDN/>
              <w:bidi w:val="0"/>
              <w:snapToGrid/>
              <w:spacing w:line="24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信息泄露</w:t>
            </w:r>
          </w:p>
        </w:tc>
        <w:tc>
          <w:tcPr>
            <w:tcW w:w="6117" w:type="dxa"/>
            <w:vAlign w:val="center"/>
          </w:tcPr>
          <w:p>
            <w:pPr>
              <w:pStyle w:val="16"/>
              <w:pageBreakBefore w:val="0"/>
              <w:widowControl w:val="0"/>
              <w:kinsoku/>
              <w:wordWrap/>
              <w:overflowPunct/>
              <w:topLinePunct w:val="0"/>
              <w:autoSpaceDE/>
              <w:autoSpaceDN/>
              <w:bidi w:val="0"/>
              <w:snapToGrid/>
              <w:spacing w:line="24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维护服务团队私自将公共数据、个人数据、政务数据等泄露或进行市场销售，造成不良影响的，视情况扣1-5分。</w:t>
            </w:r>
          </w:p>
        </w:tc>
        <w:tc>
          <w:tcPr>
            <w:tcW w:w="937" w:type="dxa"/>
            <w:vAlign w:val="center"/>
          </w:tcPr>
          <w:p>
            <w:pPr>
              <w:pStyle w:val="16"/>
              <w:pageBreakBefore w:val="0"/>
              <w:widowControl w:val="0"/>
              <w:kinsoku/>
              <w:wordWrap/>
              <w:overflowPunct/>
              <w:topLinePunct w:val="0"/>
              <w:autoSpaceDE/>
              <w:autoSpaceDN/>
              <w:bidi w:val="0"/>
              <w:snapToGrid/>
              <w:spacing w:line="24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bl>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当期结算时，结算周期内发生的扣减金额不超过当期结算金额。</w:t>
      </w:r>
    </w:p>
    <w:p>
      <w:pPr>
        <w:pStyle w:val="2"/>
        <w:pageBreakBefore w:val="0"/>
        <w:widowControl w:val="0"/>
        <w:numPr>
          <w:ilvl w:val="0"/>
          <w:numId w:val="0"/>
        </w:numPr>
        <w:kinsoku/>
        <w:wordWrap/>
        <w:overflowPunct/>
        <w:topLinePunct w:val="0"/>
        <w:autoSpaceDE/>
        <w:autoSpaceDN/>
        <w:bidi w:val="0"/>
        <w:adjustRightInd w:val="0"/>
        <w:snapToGrid/>
        <w:spacing w:before="0" w:after="0" w:line="360" w:lineRule="auto"/>
        <w:ind w:left="0" w:leftChars="0" w:firstLine="0" w:firstLineChars="0"/>
        <w:jc w:val="both"/>
        <w:textAlignment w:val="baseline"/>
        <w:rPr>
          <w:rFonts w:hint="eastAsia" w:asciiTheme="minorEastAsia" w:hAnsiTheme="minorEastAsia" w:eastAsiaTheme="minorEastAsia" w:cstheme="minorEastAsia"/>
          <w:sz w:val="24"/>
          <w:szCs w:val="24"/>
          <w:highlight w:val="none"/>
          <w:lang w:eastAsia="zh-CN"/>
        </w:rPr>
      </w:pPr>
      <w:bookmarkStart w:id="17" w:name="_Toc175153915"/>
      <w:bookmarkStart w:id="18" w:name="_Toc10585"/>
      <w:r>
        <w:rPr>
          <w:rFonts w:hint="eastAsia" w:asciiTheme="minorEastAsia" w:hAnsiTheme="minorEastAsia" w:eastAsiaTheme="minorEastAsia" w:cstheme="minorEastAsia"/>
          <w:b/>
          <w:bCs/>
          <w:kern w:val="44"/>
          <w:sz w:val="24"/>
          <w:szCs w:val="24"/>
          <w:lang w:val="en-US" w:eastAsia="zh-CN" w:bidi="ar-SA"/>
        </w:rPr>
        <w:t>第三部分</w:t>
      </w:r>
      <w:r>
        <w:rPr>
          <w:rFonts w:hint="eastAsia" w:asciiTheme="minorEastAsia" w:hAnsiTheme="minorEastAsia" w:eastAsiaTheme="minorEastAsia" w:cstheme="minorEastAsia"/>
          <w:sz w:val="24"/>
          <w:szCs w:val="24"/>
        </w:rPr>
        <w:t>项目</w:t>
      </w:r>
      <w:bookmarkEnd w:id="17"/>
      <w:r>
        <w:rPr>
          <w:rFonts w:hint="eastAsia" w:asciiTheme="minorEastAsia" w:hAnsiTheme="minorEastAsia" w:eastAsiaTheme="minorEastAsia" w:cstheme="minorEastAsia"/>
          <w:sz w:val="24"/>
          <w:szCs w:val="24"/>
        </w:rPr>
        <w:t>实施</w:t>
      </w:r>
      <w:bookmarkEnd w:id="18"/>
      <w:bookmarkStart w:id="19" w:name="OLE_LINK2"/>
    </w:p>
    <w:bookmarkEnd w:id="19"/>
    <w:p>
      <w:pPr>
        <w:pStyle w:val="3"/>
        <w:pageBreakBefore w:val="0"/>
        <w:widowControl w:val="0"/>
        <w:numPr>
          <w:ilvl w:val="1"/>
          <w:numId w:val="0"/>
        </w:numPr>
        <w:kinsoku/>
        <w:wordWrap/>
        <w:overflowPunct/>
        <w:topLinePunct w:val="0"/>
        <w:autoSpaceDE/>
        <w:autoSpaceDN/>
        <w:bidi w:val="0"/>
        <w:adjustRightInd w:val="0"/>
        <w:snapToGrid/>
        <w:spacing w:before="0" w:after="0" w:line="360" w:lineRule="auto"/>
        <w:ind w:left="0" w:leftChars="0" w:firstLine="0" w:firstLineChars="0"/>
        <w:textAlignment w:val="baseline"/>
        <w:rPr>
          <w:rFonts w:hint="eastAsia" w:asciiTheme="minorEastAsia" w:hAnsiTheme="minorEastAsia" w:eastAsiaTheme="minorEastAsia" w:cstheme="minorEastAsia"/>
          <w:sz w:val="24"/>
          <w:szCs w:val="24"/>
        </w:rPr>
      </w:pPr>
      <w:bookmarkStart w:id="20" w:name="_Toc175569574"/>
      <w:bookmarkEnd w:id="20"/>
      <w:bookmarkStart w:id="21" w:name="_Toc15596"/>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维护服务</w:t>
      </w:r>
      <w:bookmarkStart w:id="22" w:name="_Toc175569582"/>
      <w:bookmarkEnd w:id="22"/>
      <w:bookmarkStart w:id="23" w:name="_Toc175569578"/>
      <w:bookmarkEnd w:id="23"/>
      <w:bookmarkStart w:id="24" w:name="_Toc175569577"/>
      <w:bookmarkEnd w:id="24"/>
      <w:bookmarkStart w:id="25" w:name="_Toc175569579"/>
      <w:bookmarkEnd w:id="25"/>
      <w:bookmarkStart w:id="26" w:name="_Toc175569576"/>
      <w:bookmarkEnd w:id="26"/>
      <w:bookmarkStart w:id="27" w:name="_Toc175569584"/>
      <w:bookmarkEnd w:id="27"/>
      <w:bookmarkStart w:id="28" w:name="_Toc175569581"/>
      <w:bookmarkEnd w:id="28"/>
      <w:bookmarkStart w:id="29" w:name="_Toc175569583"/>
      <w:bookmarkEnd w:id="29"/>
      <w:bookmarkStart w:id="30" w:name="_Toc175569585"/>
      <w:bookmarkEnd w:id="30"/>
      <w:bookmarkStart w:id="31" w:name="_Toc175569580"/>
      <w:bookmarkEnd w:id="31"/>
      <w:bookmarkStart w:id="32" w:name="_Toc175569586"/>
      <w:bookmarkEnd w:id="32"/>
      <w:r>
        <w:rPr>
          <w:rFonts w:hint="eastAsia" w:asciiTheme="minorEastAsia" w:hAnsiTheme="minorEastAsia" w:eastAsiaTheme="minorEastAsia" w:cstheme="minorEastAsia"/>
          <w:sz w:val="24"/>
          <w:szCs w:val="24"/>
        </w:rPr>
        <w:t>工作流程</w:t>
      </w:r>
      <w:bookmarkEnd w:id="21"/>
    </w:p>
    <w:p>
      <w:pPr>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维护服务工作流程要从故障报告、分析、处理实施、跟进及总结进行闭环管理。</w:t>
      </w:r>
    </w:p>
    <w:p>
      <w:pPr>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（1）故障报告</w:t>
      </w:r>
    </w:p>
    <w:p>
      <w:pPr>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当系统出现异常或故障时，用户通过下发工单、电话、邮件等方式向维护单位报告故障，并说明情况和相关指标。项目经理或维护工程师接到报告后，即开始进行故障分析和定位。</w:t>
      </w:r>
    </w:p>
    <w:p>
      <w:pPr>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（2）故障分析</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维护工程师根据故障信息和指标，开始对系统进行排查和分析，查看相关日志、监控数据和配置文件等，检查系统的运行状态和维护记录，进一步确定故障原因。</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（3）故障处理</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维护工程师根据故障原因制定相应的处理方案，开始进行故障处理，包括故障修复、数据恢复等，保证系统的稳定性和连续性。</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（4）故障跟进</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项目经理对故障的处理情况进行跟进和监督，确保故障及时得到解决，并记录相关处理信息和方案。</w:t>
      </w:r>
    </w:p>
    <w:p>
      <w:pPr>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（5）故障总结</w:t>
      </w:r>
    </w:p>
    <w:p>
      <w:pPr>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cs="Times New Roman"/>
          <w:szCs w:val="24"/>
        </w:rPr>
      </w:pPr>
      <w:r>
        <w:rPr>
          <w:rFonts w:hint="eastAsia" w:asciiTheme="minorEastAsia" w:hAnsiTheme="minorEastAsia" w:eastAsiaTheme="minorEastAsia" w:cstheme="minorEastAsia"/>
          <w:sz w:val="24"/>
          <w:szCs w:val="24"/>
        </w:rPr>
        <w:t>维护单位对故障进行总结和反馈，通过不断优化系统运行和维护流程，提高故障排查和处理的效率和质量，提高维护单位的工作水平。</w:t>
      </w:r>
    </w:p>
    <w:p>
      <w:pPr>
        <w:pStyle w:val="9"/>
        <w:spacing w:line="360" w:lineRule="auto"/>
        <w:ind w:firstLine="522" w:firstLineChars="200"/>
        <w:rPr>
          <w:rFonts w:hint="default" w:ascii="Times New Roman" w:hAnsi="Times New Roman" w:cs="Times New Roman"/>
          <w:b/>
          <w:bCs/>
          <w:spacing w:val="10"/>
          <w:sz w:val="24"/>
          <w:szCs w:val="24"/>
        </w:rPr>
      </w:pPr>
      <w:r>
        <w:rPr>
          <w:rFonts w:hint="default" w:ascii="Times New Roman" w:hAnsi="Times New Roman" w:cs="Times New Roman"/>
          <w:b/>
          <w:bCs/>
          <w:spacing w:val="10"/>
          <w:sz w:val="24"/>
          <w:szCs w:val="24"/>
        </w:rPr>
        <w:t>（三）其他</w:t>
      </w:r>
    </w:p>
    <w:p>
      <w:pPr>
        <w:pStyle w:val="9"/>
        <w:spacing w:line="360" w:lineRule="auto"/>
        <w:ind w:firstLine="522" w:firstLineChars="200"/>
        <w:rPr>
          <w:rFonts w:hint="default" w:ascii="Times New Roman" w:hAnsi="Times New Roman" w:cs="Times New Roman"/>
          <w:b/>
          <w:bCs/>
          <w:spacing w:val="10"/>
          <w:sz w:val="24"/>
          <w:szCs w:val="24"/>
        </w:rPr>
      </w:pPr>
      <w:r>
        <w:rPr>
          <w:rFonts w:hint="default" w:ascii="Times New Roman" w:hAnsi="Times New Roman" w:cs="Times New Roman"/>
          <w:b/>
          <w:bCs/>
          <w:spacing w:val="10"/>
          <w:sz w:val="24"/>
          <w:szCs w:val="24"/>
        </w:rPr>
        <w:t>1、合同履行期限：</w:t>
      </w:r>
    </w:p>
    <w:p>
      <w:pPr>
        <w:pStyle w:val="9"/>
        <w:spacing w:line="360" w:lineRule="auto"/>
        <w:ind w:firstLine="520" w:firstLineChars="200"/>
        <w:rPr>
          <w:rFonts w:hint="default" w:ascii="Times New Roman" w:hAnsi="Times New Roman" w:cs="Times New Roman"/>
          <w:spacing w:val="10"/>
          <w:sz w:val="24"/>
          <w:szCs w:val="24"/>
        </w:rPr>
      </w:pPr>
      <w:r>
        <w:rPr>
          <w:rFonts w:hint="default" w:ascii="Times New Roman" w:hAnsi="Times New Roman" w:cs="Times New Roman"/>
          <w:spacing w:val="10"/>
          <w:sz w:val="24"/>
          <w:szCs w:val="24"/>
        </w:rPr>
        <w:t>自合同签订之日起</w:t>
      </w:r>
      <w:r>
        <w:rPr>
          <w:rFonts w:hint="eastAsia" w:cs="Times New Roman"/>
          <w:spacing w:val="10"/>
          <w:sz w:val="24"/>
          <w:szCs w:val="24"/>
          <w:lang w:val="en-US" w:eastAsia="zh-CN"/>
        </w:rPr>
        <w:t>持续服务12个月</w:t>
      </w:r>
      <w:r>
        <w:rPr>
          <w:rFonts w:hint="default" w:ascii="Times New Roman" w:hAnsi="Times New Roman" w:cs="Times New Roman"/>
          <w:spacing w:val="10"/>
          <w:sz w:val="24"/>
          <w:szCs w:val="24"/>
        </w:rPr>
        <w:t>。</w:t>
      </w:r>
    </w:p>
    <w:p>
      <w:pPr>
        <w:pStyle w:val="9"/>
        <w:spacing w:line="360" w:lineRule="auto"/>
        <w:ind w:firstLine="482"/>
      </w:pPr>
      <w:r>
        <w:rPr>
          <w:rFonts w:ascii="Times New Roman" w:hAnsi="Times New Roman" w:cs="Times New Roman"/>
          <w:b/>
          <w:sz w:val="24"/>
          <w:szCs w:val="24"/>
        </w:rPr>
        <w:t>注：以上加*的技术参数、指标为重要参数、指标，供应商投标内容低于招标文件要求的其投标无效。</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B536A"/>
    <w:multiLevelType w:val="multilevel"/>
    <w:tmpl w:val="B2DB536A"/>
    <w:lvl w:ilvl="0" w:tentative="0">
      <w:start w:val="1"/>
      <w:numFmt w:val="chineseCountingThousand"/>
      <w:pStyle w:val="2"/>
      <w:suff w:val="nothing"/>
      <w:lvlText w:val="第%1部分"/>
      <w:lvlJc w:val="center"/>
      <w:pPr>
        <w:tabs>
          <w:tab w:val="left" w:pos="0"/>
        </w:tabs>
        <w:ind w:left="252" w:firstLine="288"/>
      </w:pPr>
      <w:rPr>
        <w:rFonts w:hint="eastAsia"/>
        <w:sz w:val="28"/>
        <w:szCs w:val="28"/>
      </w:rPr>
    </w:lvl>
    <w:lvl w:ilvl="1" w:tentative="0">
      <w:start w:val="1"/>
      <w:numFmt w:val="chineseCountingThousand"/>
      <w:pStyle w:val="3"/>
      <w:suff w:val="nothing"/>
      <w:lvlText w:val="%2、"/>
      <w:lvlJc w:val="left"/>
      <w:pPr>
        <w:tabs>
          <w:tab w:val="left" w:pos="0"/>
        </w:tabs>
        <w:ind w:left="543" w:firstLine="177"/>
      </w:pPr>
      <w:rPr>
        <w:rFonts w:hint="eastAsia" w:ascii="仿宋_GB2312" w:hAnsi="仿宋_GB2312" w:eastAsia="仿宋_GB2312"/>
        <w:sz w:val="32"/>
        <w:szCs w:val="32"/>
      </w:rPr>
    </w:lvl>
    <w:lvl w:ilvl="2" w:tentative="0">
      <w:start w:val="1"/>
      <w:numFmt w:val="chineseCountingThousand"/>
      <w:suff w:val="nothing"/>
      <w:lvlText w:val="(%3)"/>
      <w:lvlJc w:val="left"/>
      <w:pPr>
        <w:tabs>
          <w:tab w:val="left" w:pos="0"/>
        </w:tabs>
        <w:ind w:left="252"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tabs>
          <w:tab w:val="left" w:pos="0"/>
        </w:tabs>
        <w:ind w:left="252" w:firstLine="0"/>
      </w:pPr>
      <w:rPr>
        <w:rFonts w:hint="eastAsia"/>
      </w:rPr>
    </w:lvl>
    <w:lvl w:ilvl="4" w:tentative="0">
      <w:start w:val="1"/>
      <w:numFmt w:val="upperLetter"/>
      <w:suff w:val="nothing"/>
      <w:lvlText w:val="%5、"/>
      <w:lvlJc w:val="left"/>
      <w:pPr>
        <w:tabs>
          <w:tab w:val="left" w:pos="0"/>
        </w:tabs>
        <w:ind w:left="252" w:firstLine="0"/>
      </w:pPr>
      <w:rPr>
        <w:rFonts w:hint="eastAsia"/>
      </w:rPr>
    </w:lvl>
    <w:lvl w:ilvl="5" w:tentative="0">
      <w:start w:val="1"/>
      <w:numFmt w:val="none"/>
      <w:suff w:val="nothing"/>
      <w:lvlText w:val=""/>
      <w:lvlJc w:val="left"/>
      <w:pPr>
        <w:tabs>
          <w:tab w:val="left" w:pos="0"/>
        </w:tabs>
        <w:ind w:left="252" w:firstLine="0"/>
      </w:pPr>
      <w:rPr>
        <w:rFonts w:hint="eastAsia"/>
      </w:rPr>
    </w:lvl>
    <w:lvl w:ilvl="6" w:tentative="0">
      <w:start w:val="1"/>
      <w:numFmt w:val="none"/>
      <w:suff w:val="nothing"/>
      <w:lvlText w:val=""/>
      <w:lvlJc w:val="left"/>
      <w:pPr>
        <w:tabs>
          <w:tab w:val="left" w:pos="0"/>
        </w:tabs>
        <w:ind w:left="252" w:firstLine="0"/>
      </w:pPr>
      <w:rPr>
        <w:rFonts w:hint="eastAsia"/>
      </w:rPr>
    </w:lvl>
    <w:lvl w:ilvl="7" w:tentative="0">
      <w:start w:val="1"/>
      <w:numFmt w:val="none"/>
      <w:suff w:val="nothing"/>
      <w:lvlText w:val=""/>
      <w:lvlJc w:val="left"/>
      <w:pPr>
        <w:tabs>
          <w:tab w:val="left" w:pos="0"/>
        </w:tabs>
        <w:ind w:left="252" w:firstLine="0"/>
      </w:pPr>
      <w:rPr>
        <w:rFonts w:hint="eastAsia"/>
      </w:rPr>
    </w:lvl>
    <w:lvl w:ilvl="8" w:tentative="0">
      <w:start w:val="1"/>
      <w:numFmt w:val="none"/>
      <w:suff w:val="nothing"/>
      <w:lvlText w:val=""/>
      <w:lvlJc w:val="left"/>
      <w:pPr>
        <w:tabs>
          <w:tab w:val="left" w:pos="0"/>
        </w:tabs>
        <w:ind w:left="252" w:firstLine="0"/>
      </w:pPr>
      <w:rPr>
        <w:rFonts w:hint="eastAsia"/>
      </w:rPr>
    </w:lvl>
  </w:abstractNum>
  <w:abstractNum w:abstractNumId="1">
    <w:nsid w:val="D131A733"/>
    <w:multiLevelType w:val="multilevel"/>
    <w:tmpl w:val="D131A733"/>
    <w:lvl w:ilvl="0" w:tentative="0">
      <w:start w:val="1"/>
      <w:numFmt w:val="chineseCountingThousand"/>
      <w:suff w:val="space"/>
      <w:lvlText w:val="第%1章"/>
      <w:lvlJc w:val="left"/>
      <w:pPr>
        <w:ind w:left="0" w:firstLine="0"/>
      </w:pPr>
      <w:rPr>
        <w:rFonts w:hint="eastAsia"/>
      </w:rPr>
    </w:lvl>
    <w:lvl w:ilvl="1" w:tentative="0">
      <w:start w:val="1"/>
      <w:numFmt w:val="decimal"/>
      <w:suff w:val="space"/>
      <w:lvlText w:val="%2"/>
      <w:lvlJc w:val="left"/>
      <w:pPr>
        <w:ind w:left="0" w:firstLine="0"/>
      </w:pPr>
      <w:rPr>
        <w:rFonts w:hint="eastAsia" w:ascii="Times New Roman" w:hAnsi="Times New Roman" w:eastAsia="宋体"/>
      </w:rPr>
    </w:lvl>
    <w:lvl w:ilvl="2" w:tentative="0">
      <w:start w:val="1"/>
      <w:numFmt w:val="decimal"/>
      <w:pStyle w:val="4"/>
      <w:isLgl/>
      <w:suff w:val="space"/>
      <w:lvlText w:val="%2.%3"/>
      <w:lvlJc w:val="left"/>
      <w:pPr>
        <w:ind w:left="0" w:firstLine="0"/>
      </w:pPr>
      <w:rPr>
        <w:rFonts w:hint="eastAsia" w:ascii="Times New Roman" w:hAnsi="Times New Roman" w:eastAsia="宋体"/>
      </w:rPr>
    </w:lvl>
    <w:lvl w:ilvl="3" w:tentative="0">
      <w:start w:val="1"/>
      <w:numFmt w:val="decimal"/>
      <w:pStyle w:val="5"/>
      <w:suff w:val="space"/>
      <w:lvlText w:val="%2.%3.%4"/>
      <w:lvlJc w:val="left"/>
      <w:pPr>
        <w:tabs>
          <w:tab w:val="left" w:pos="0"/>
        </w:tabs>
        <w:ind w:left="0" w:firstLine="0"/>
      </w:pPr>
      <w:rPr>
        <w:rFonts w:hint="eastAsia" w:ascii="Times New Roman" w:hAnsi="Times New Roman" w:eastAsia="宋体"/>
      </w:rPr>
    </w:lvl>
    <w:lvl w:ilvl="4" w:tentative="0">
      <w:start w:val="1"/>
      <w:numFmt w:val="decimal"/>
      <w:suff w:val="space"/>
      <w:lvlText w:val="%2.%3.%4.%5"/>
      <w:lvlJc w:val="left"/>
      <w:pPr>
        <w:ind w:left="0" w:firstLine="0"/>
      </w:pPr>
      <w:rPr>
        <w:rFonts w:hint="eastAsia" w:ascii="宋体" w:hAnsi="宋体" w:eastAsia="宋体" w:cs="宋体"/>
      </w:rPr>
    </w:lvl>
    <w:lvl w:ilvl="5" w:tentative="0">
      <w:start w:val="1"/>
      <w:numFmt w:val="decimal"/>
      <w:suff w:val="space"/>
      <w:lvlText w:val="%2.%3.%4.%5.%6"/>
      <w:lvlJc w:val="left"/>
      <w:pPr>
        <w:ind w:left="0" w:firstLine="0"/>
      </w:pPr>
      <w:rPr>
        <w:rFonts w:hint="eastAsia" w:ascii="Times New Roman" w:hAnsi="Times New Roman"/>
      </w:rPr>
    </w:lvl>
    <w:lvl w:ilvl="6" w:tentative="0">
      <w:start w:val="1"/>
      <w:numFmt w:val="decimal"/>
      <w:suff w:val="space"/>
      <w:lvlText w:val="（%7）"/>
      <w:lvlJc w:val="left"/>
      <w:pPr>
        <w:ind w:left="0" w:firstLine="0"/>
      </w:pPr>
      <w:rPr>
        <w:rFonts w:hint="eastAsia"/>
        <w:color w:val="auto"/>
      </w:rPr>
    </w:lvl>
    <w:lvl w:ilvl="7" w:tentative="0">
      <w:start w:val="1"/>
      <w:numFmt w:val="none"/>
      <w:suff w:val="space"/>
      <w:lvlText w:val=""/>
      <w:lvlJc w:val="left"/>
      <w:pPr>
        <w:ind w:left="0" w:firstLine="0"/>
      </w:pPr>
      <w:rPr>
        <w:rFonts w:hint="eastAsia"/>
        <w:color w:val="auto"/>
      </w:rPr>
    </w:lvl>
    <w:lvl w:ilvl="8" w:tentative="0">
      <w:start w:val="1"/>
      <w:numFmt w:val="none"/>
      <w:suff w:val="space"/>
      <w:lvlText w:val=""/>
      <w:lvlJc w:val="left"/>
      <w:pPr>
        <w:ind w:left="0" w:firstLine="0"/>
      </w:pPr>
      <w:rPr>
        <w:rFonts w:hint="eastAsia"/>
      </w:rPr>
    </w:lvl>
  </w:abstractNum>
  <w:abstractNum w:abstractNumId="2">
    <w:nsid w:val="0424D13A"/>
    <w:multiLevelType w:val="singleLevel"/>
    <w:tmpl w:val="0424D13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YTI5NDM1MmQxNjM1YmU2NDI2ZTIwZGRjNDA3MmEifQ=="/>
  </w:docVars>
  <w:rsids>
    <w:rsidRoot w:val="0D1110E2"/>
    <w:rsid w:val="02390F38"/>
    <w:rsid w:val="05DA01A8"/>
    <w:rsid w:val="09D851B5"/>
    <w:rsid w:val="0D1110E2"/>
    <w:rsid w:val="13F25FFD"/>
    <w:rsid w:val="192E31F8"/>
    <w:rsid w:val="394A5D8E"/>
    <w:rsid w:val="3C1A101E"/>
    <w:rsid w:val="41B14B1E"/>
    <w:rsid w:val="50D8144A"/>
    <w:rsid w:val="54176458"/>
    <w:rsid w:val="583F2403"/>
    <w:rsid w:val="5D471BF2"/>
    <w:rsid w:val="6857373E"/>
    <w:rsid w:val="6C52670F"/>
    <w:rsid w:val="6E555C92"/>
    <w:rsid w:val="757E4803"/>
    <w:rsid w:val="78E7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5"/>
    <w:autoRedefine/>
    <w:qFormat/>
    <w:uiPriority w:val="0"/>
    <w:pPr>
      <w:keepNext/>
      <w:keepLines/>
      <w:widowControl w:val="0"/>
      <w:numPr>
        <w:ilvl w:val="0"/>
        <w:numId w:val="1"/>
      </w:numPr>
      <w:spacing w:before="340" w:after="330" w:line="578" w:lineRule="atLeast"/>
      <w:jc w:val="center"/>
      <w:outlineLvl w:val="0"/>
    </w:pPr>
    <w:rPr>
      <w:rFonts w:ascii="Times New Roman" w:hAnsi="Times New Roman" w:eastAsia="宋体"/>
      <w:b/>
      <w:bCs/>
      <w:kern w:val="44"/>
      <w:sz w:val="28"/>
      <w:szCs w:val="44"/>
    </w:rPr>
  </w:style>
  <w:style w:type="paragraph" w:styleId="3">
    <w:name w:val="heading 2"/>
    <w:basedOn w:val="1"/>
    <w:next w:val="1"/>
    <w:autoRedefine/>
    <w:qFormat/>
    <w:uiPriority w:val="0"/>
    <w:pPr>
      <w:keepNext/>
      <w:keepLines/>
      <w:widowControl w:val="0"/>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qFormat/>
    <w:uiPriority w:val="0"/>
    <w:pPr>
      <w:keepNext/>
      <w:widowControl w:val="0"/>
      <w:numPr>
        <w:ilvl w:val="2"/>
        <w:numId w:val="2"/>
      </w:numPr>
      <w:spacing w:line="360" w:lineRule="auto"/>
      <w:outlineLvl w:val="2"/>
    </w:pPr>
    <w:rPr>
      <w:rFonts w:ascii="Times New Roman" w:hAnsi="Times New Roman" w:eastAsia="黑体" w:cs="Times New Roman"/>
      <w:b/>
      <w:bCs/>
      <w:kern w:val="2"/>
      <w:sz w:val="30"/>
      <w:szCs w:val="30"/>
      <w:lang w:val="en-US" w:eastAsia="zh-CN" w:bidi="ar-SA"/>
    </w:rPr>
  </w:style>
  <w:style w:type="paragraph" w:styleId="5">
    <w:name w:val="heading 4"/>
    <w:basedOn w:val="1"/>
    <w:next w:val="1"/>
    <w:qFormat/>
    <w:uiPriority w:val="0"/>
    <w:pPr>
      <w:keepNext/>
      <w:keepLines/>
      <w:numPr>
        <w:ilvl w:val="3"/>
        <w:numId w:val="2"/>
      </w:numPr>
      <w:spacing w:line="360" w:lineRule="auto"/>
      <w:outlineLvl w:val="3"/>
    </w:pPr>
    <w:rPr>
      <w:rFonts w:ascii="黑体" w:hAnsi="黑体" w:eastAsia="黑体" w:cs="Times New Roman"/>
      <w:b/>
      <w:kern w:val="2"/>
      <w:sz w:val="28"/>
      <w:szCs w:val="32"/>
      <w:lang w:val="en-US" w:eastAsia="zh-CN" w:bidi="ar-SA"/>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Indent"/>
    <w:basedOn w:val="1"/>
    <w:next w:val="8"/>
    <w:autoRedefine/>
    <w:qFormat/>
    <w:uiPriority w:val="0"/>
    <w:pPr>
      <w:spacing w:line="360" w:lineRule="auto"/>
      <w:ind w:firstLine="570"/>
    </w:pPr>
    <w:rPr>
      <w:sz w:val="24"/>
    </w:rPr>
  </w:style>
  <w:style w:type="paragraph" w:styleId="8">
    <w:name w:val="envelope return"/>
    <w:basedOn w:val="1"/>
    <w:autoRedefine/>
    <w:qFormat/>
    <w:uiPriority w:val="0"/>
    <w:pPr>
      <w:snapToGrid w:val="0"/>
    </w:pPr>
    <w:rPr>
      <w:rFonts w:ascii="Arial" w:hAnsi="Arial"/>
    </w:rPr>
  </w:style>
  <w:style w:type="paragraph" w:styleId="9">
    <w:name w:val="footnote text"/>
    <w:basedOn w:val="1"/>
    <w:autoRedefine/>
    <w:qFormat/>
    <w:uiPriority w:val="0"/>
    <w:pPr>
      <w:snapToGrid w:val="0"/>
      <w:jc w:val="left"/>
    </w:pPr>
    <w:rPr>
      <w:sz w:val="18"/>
      <w:szCs w:val="18"/>
    </w:rPr>
  </w:style>
  <w:style w:type="paragraph" w:styleId="10">
    <w:name w:val="Body Text First Indent 2"/>
    <w:basedOn w:val="7"/>
    <w:next w:val="1"/>
    <w:autoRedefine/>
    <w:qFormat/>
    <w:uiPriority w:val="0"/>
    <w:pPr>
      <w:spacing w:after="120" w:line="480" w:lineRule="exact"/>
      <w:ind w:left="420" w:leftChars="200" w:firstLine="420" w:firstLineChars="200"/>
    </w:pPr>
    <w:rPr>
      <w:szCs w:val="20"/>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 标题 1 + 四号 居中 段前: 12 磅 段后: 12 磅 行距: 单倍行距"/>
    <w:basedOn w:val="2"/>
    <w:autoRedefine/>
    <w:qFormat/>
    <w:uiPriority w:val="0"/>
    <w:pPr>
      <w:spacing w:before="240" w:after="240" w:line="240" w:lineRule="auto"/>
      <w:jc w:val="center"/>
    </w:pPr>
    <w:rPr>
      <w:rFonts w:cs="宋体"/>
      <w:sz w:val="28"/>
      <w:szCs w:val="20"/>
      <w:lang w:bidi="ar-SA"/>
    </w:rPr>
  </w:style>
  <w:style w:type="character" w:customStyle="1" w:styleId="15">
    <w:name w:val="标题 1 Char"/>
    <w:link w:val="2"/>
    <w:autoRedefine/>
    <w:qFormat/>
    <w:uiPriority w:val="0"/>
    <w:rPr>
      <w:rFonts w:ascii="Times New Roman" w:hAnsi="Times New Roman" w:eastAsia="宋体"/>
      <w:b/>
      <w:bCs/>
      <w:kern w:val="44"/>
      <w:sz w:val="28"/>
      <w:szCs w:val="44"/>
    </w:rPr>
  </w:style>
  <w:style w:type="paragraph" w:customStyle="1" w:styleId="16">
    <w:name w:val="图表"/>
    <w:basedOn w:val="1"/>
    <w:autoRedefine/>
    <w:qFormat/>
    <w:uiPriority w:val="0"/>
    <w:pPr>
      <w:ind w:firstLine="0" w:firstLineChars="0"/>
      <w:jc w:val="center"/>
    </w:pPr>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23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2025-04-22T03:28:00Z</dcterms:created>
  <dc:creator>烤饼夹串儿</dc:creator>
  <cp:lastModifiedBy>高凌峰</cp:lastModifiedBy>
  <dcterms:modified xsi:type="dcterms:W3CDTF">2025-05-27T09:14:25Z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073CD627A5CC41959ADCB6C51D18FA8F_11</vt:lpwstr>
  </property>
</Properties>
</file>