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hAnsiTheme="minorHAnsi" w:cstheme="minorBidi"/>
          <w:b w:val="0"/>
          <w:kern w:val="2"/>
          <w:sz w:val="44"/>
          <w:szCs w:val="44"/>
          <w:lang w:val="en-US" w:eastAsia="zh-CN" w:bidi="ar-SA"/>
        </w:rPr>
      </w:pPr>
      <w:r>
        <w:rPr>
          <w:rFonts w:hint="eastAsia" w:ascii="方正小标宋简体" w:eastAsia="方正小标宋简体" w:hAnsiTheme="minorHAnsi" w:cstheme="minorBidi"/>
          <w:b w:val="0"/>
          <w:kern w:val="2"/>
          <w:sz w:val="44"/>
          <w:szCs w:val="44"/>
          <w:lang w:val="en-US" w:eastAsia="zh-CN" w:bidi="ar-SA"/>
        </w:rPr>
        <w:t>CA互认绑定和最新版驱动下载</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eastAsia" w:ascii="方正小标宋简体" w:eastAsia="方正小标宋简体" w:hAnsiTheme="minorHAnsi" w:cstheme="minorBidi"/>
          <w:b w:val="0"/>
          <w:kern w:val="2"/>
          <w:sz w:val="44"/>
          <w:szCs w:val="44"/>
          <w:lang w:val="en-US" w:eastAsia="zh-CN" w:bidi="ar-SA"/>
        </w:rPr>
      </w:pPr>
      <w:r>
        <w:rPr>
          <w:rFonts w:hint="eastAsia" w:ascii="方正小标宋简体" w:eastAsia="方正小标宋简体" w:hAnsiTheme="minorHAnsi" w:cstheme="minorBidi"/>
          <w:b w:val="0"/>
          <w:kern w:val="2"/>
          <w:sz w:val="44"/>
          <w:szCs w:val="44"/>
          <w:lang w:val="en-US" w:eastAsia="zh-CN" w:bidi="ar-SA"/>
        </w:rPr>
        <w:t>操作手册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13" w:beforeLines="100" w:beforeAutospacing="0" w:after="0" w:afterAutospacing="0" w:line="560" w:lineRule="exact"/>
        <w:ind w:right="0" w:firstLine="640" w:firstLineChars="200"/>
        <w:jc w:val="both"/>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为贯彻落实《国务院办公厅转发国家发展改革委关于深化公共资源交易平台整合共享指导意见的通知》（国办函〔2019〕41号）要求，实现北京地区、河北地区</w:t>
      </w:r>
      <w:r>
        <w:rPr>
          <w:rFonts w:hint="default" w:ascii="仿宋_GB2312" w:hAnsi="Calibri" w:eastAsia="仿宋_GB2312" w:cs="Times New Roman"/>
          <w:b w:val="0"/>
          <w:kern w:val="2"/>
          <w:sz w:val="32"/>
          <w:szCs w:val="32"/>
          <w:lang w:val="en-US" w:eastAsia="zh-CN" w:bidi="ar-SA"/>
        </w:rPr>
        <w:t>CA</w:t>
      </w:r>
      <w:r>
        <w:rPr>
          <w:rFonts w:hint="eastAsia" w:ascii="仿宋_GB2312" w:hAnsi="Calibri" w:eastAsia="仿宋_GB2312" w:cs="Times New Roman"/>
          <w:b w:val="0"/>
          <w:kern w:val="2"/>
          <w:sz w:val="32"/>
          <w:szCs w:val="32"/>
          <w:lang w:val="en-US" w:eastAsia="zh-CN" w:bidi="ar-SA"/>
        </w:rPr>
        <w:t>与雄安新区公共资源交易服务平台互认,请各市场主体应根据自身情况，选择合适的方式及时进行认证:</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（一）雄安新区的CA用户，需在雄安新区公共资源交易服务平台门户网站http://www.xaprtc.com.</w:t>
      </w:r>
      <w:r>
        <w:rPr>
          <w:rFonts w:hint="default" w:ascii="仿宋_GB2312" w:eastAsia="仿宋_GB2312" w:cs="仿宋_GB2312"/>
          <w:sz w:val="31"/>
          <w:szCs w:val="31"/>
        </w:rPr>
        <w:t>（以下简称“</w:t>
      </w:r>
      <w:r>
        <w:rPr>
          <w:rFonts w:hint="eastAsia" w:ascii="仿宋_GB2312" w:eastAsia="仿宋_GB2312" w:cs="仿宋_GB2312"/>
          <w:sz w:val="31"/>
          <w:szCs w:val="31"/>
          <w:lang w:val="en-US" w:eastAsia="zh-CN"/>
        </w:rPr>
        <w:t>新区</w:t>
      </w:r>
      <w:r>
        <w:rPr>
          <w:rFonts w:hint="default" w:ascii="仿宋_GB2312" w:eastAsia="仿宋_GB2312" w:cs="仿宋_GB2312"/>
          <w:sz w:val="31"/>
          <w:szCs w:val="31"/>
        </w:rPr>
        <w:t>服务平台”）</w:t>
      </w:r>
      <w:r>
        <w:rPr>
          <w:rFonts w:hint="eastAsia" w:ascii="仿宋_GB2312" w:hAnsi="Calibri" w:eastAsia="仿宋_GB2312" w:cs="Times New Roman"/>
          <w:b w:val="0"/>
          <w:kern w:val="2"/>
          <w:sz w:val="32"/>
          <w:szCs w:val="32"/>
          <w:lang w:val="en-US" w:eastAsia="zh-CN" w:bidi="ar-SA"/>
        </w:rPr>
        <w:t>的下载中心下载</w:t>
      </w:r>
      <w:r>
        <w:rPr>
          <w:rFonts w:hint="default" w:ascii="仿宋_GB2312" w:hAnsi="Calibri" w:eastAsia="仿宋_GB2312" w:cs="Times New Roman"/>
          <w:b w:val="0"/>
          <w:kern w:val="2"/>
          <w:sz w:val="32"/>
          <w:szCs w:val="32"/>
          <w:lang w:val="en-US" w:eastAsia="zh-CN" w:bidi="ar-SA"/>
        </w:rPr>
        <w:t>最新版CA驱动</w:t>
      </w:r>
      <w:r>
        <w:rPr>
          <w:rFonts w:hint="eastAsia" w:ascii="仿宋_GB2312" w:hAnsi="Calibri" w:eastAsia="仿宋_GB2312" w:cs="Times New Roman"/>
          <w:b w:val="0"/>
          <w:kern w:val="2"/>
          <w:sz w:val="32"/>
          <w:szCs w:val="32"/>
          <w:lang w:val="en-US" w:eastAsia="zh-CN" w:bidi="ar-SA"/>
        </w:rPr>
        <w:t>，卸载电脑上其他CA驱动后，重新安装</w:t>
      </w:r>
      <w:r>
        <w:rPr>
          <w:rFonts w:hint="default" w:ascii="仿宋_GB2312" w:hAnsi="Calibri" w:eastAsia="仿宋_GB2312" w:cs="Times New Roman"/>
          <w:b w:val="0"/>
          <w:kern w:val="2"/>
          <w:sz w:val="32"/>
          <w:szCs w:val="32"/>
          <w:lang w:val="en-US" w:eastAsia="zh-CN" w:bidi="ar-SA"/>
        </w:rPr>
        <w:t>最新版</w:t>
      </w:r>
      <w:r>
        <w:rPr>
          <w:rFonts w:hint="eastAsia" w:ascii="仿宋_GB2312" w:hAnsi="Calibri" w:eastAsia="仿宋_GB2312" w:cs="Times New Roman"/>
          <w:b w:val="0"/>
          <w:kern w:val="2"/>
          <w:sz w:val="32"/>
          <w:szCs w:val="32"/>
          <w:lang w:val="en-US" w:eastAsia="zh-CN" w:bidi="ar-SA"/>
        </w:rPr>
        <w:t>驱动,即可正常使用CA锁登录系统。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jc w:val="left"/>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二）北京地区和河北地区的CA用户，在新区服务平台完成市场主体注册后,需携带北京或河北地区的CA锁来雄安新区公共资源交易中心主体服务窗口现场办理CA互认绑定业务或通过邮寄方式办理。用户按照《CA数字证书驱动程序对照表》（附表1）,在新区服务平台门户网站的下载中心下载相应</w:t>
      </w:r>
      <w:r>
        <w:rPr>
          <w:rFonts w:hint="default" w:ascii="仿宋_GB2312" w:hAnsi="Calibri" w:eastAsia="仿宋_GB2312" w:cs="Times New Roman"/>
          <w:b w:val="0"/>
          <w:kern w:val="2"/>
          <w:sz w:val="32"/>
          <w:szCs w:val="32"/>
          <w:lang w:val="en-US" w:eastAsia="zh-CN" w:bidi="ar-SA"/>
        </w:rPr>
        <w:t>最新版CA驱动</w:t>
      </w:r>
      <w:r>
        <w:rPr>
          <w:rFonts w:hint="eastAsia" w:ascii="仿宋_GB2312" w:hAnsi="Calibri" w:eastAsia="仿宋_GB2312" w:cs="Times New Roman"/>
          <w:b w:val="0"/>
          <w:kern w:val="2"/>
          <w:sz w:val="32"/>
          <w:szCs w:val="32"/>
          <w:lang w:val="en-US" w:eastAsia="zh-CN" w:bidi="ar-SA"/>
        </w:rPr>
        <w:t>，卸载完成电脑上安装的其他CA驱动后，在电脑上重新安装相应</w:t>
      </w:r>
      <w:r>
        <w:rPr>
          <w:rFonts w:hint="default" w:ascii="仿宋_GB2312" w:hAnsi="Calibri" w:eastAsia="仿宋_GB2312" w:cs="Times New Roman"/>
          <w:b w:val="0"/>
          <w:kern w:val="2"/>
          <w:sz w:val="32"/>
          <w:szCs w:val="32"/>
          <w:lang w:val="en-US" w:eastAsia="zh-CN" w:bidi="ar-SA"/>
        </w:rPr>
        <w:t>最新版</w:t>
      </w:r>
      <w:r>
        <w:rPr>
          <w:rFonts w:hint="eastAsia" w:ascii="仿宋_GB2312" w:hAnsi="Calibri" w:eastAsia="仿宋_GB2312" w:cs="Times New Roman"/>
          <w:b w:val="0"/>
          <w:kern w:val="2"/>
          <w:sz w:val="32"/>
          <w:szCs w:val="32"/>
          <w:lang w:val="en-US" w:eastAsia="zh-CN" w:bidi="ar-SA"/>
        </w:rPr>
        <w:t>驱动，用IE9版本以上的浏览器登录交易平台即可正常使用CA锁登录系统。</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560" w:lineRule="exact"/>
        <w:ind w:left="0" w:right="0" w:firstLine="560"/>
        <w:jc w:val="both"/>
        <w:textAlignment w:val="auto"/>
        <w:rPr>
          <w:rFonts w:hint="default"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（三）通过邮寄方式办理CA互认绑定业务，邮寄地址:河北省保定市容城县白洋淀大道与容安路交叉口001号新区交易中心（郭女士 0312-5610196）,接收顺丰快递,请在快递预留回寄地址。公司名称、CA锁密码、邮寄的快递单号、寄回地址、联系人信息以邮件方式发送至xaxqggzy@163.com,邮件以“XX公司（CA互认）”命名，工作人员办理完成CA互认绑定业务后，将CA通过顺丰快递寄回,运费到付。</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安装使用过程需要注意以下几点:</w:t>
      </w:r>
      <w:r>
        <w:rPr>
          <w:rFonts w:hint="eastAsia" w:ascii="仿宋_GB2312" w:hAnsi="Calibri" w:eastAsia="仿宋_GB2312" w:cs="Times New Roman"/>
          <w:b w:val="0"/>
          <w:kern w:val="2"/>
          <w:sz w:val="32"/>
          <w:szCs w:val="32"/>
          <w:lang w:val="en-US" w:eastAsia="zh-CN" w:bidi="ar-SA"/>
        </w:rPr>
        <w:br w:type="textWrapping"/>
      </w:r>
      <w:r>
        <w:rPr>
          <w:rFonts w:hint="eastAsia" w:ascii="仿宋_GB2312" w:hAnsi="Calibri" w:eastAsia="仿宋_GB2312" w:cs="Times New Roman"/>
          <w:b w:val="0"/>
          <w:kern w:val="2"/>
          <w:sz w:val="32"/>
          <w:szCs w:val="32"/>
          <w:lang w:val="en-US" w:eastAsia="zh-CN" w:bidi="ar-SA"/>
        </w:rPr>
        <w:t xml:space="preserve">     1.必须将电脑上之前安装的CA驱动卸载完成即可安装新驱动;</w:t>
      </w:r>
    </w:p>
    <w:p>
      <w:pPr>
        <w:keepNext w:val="0"/>
        <w:keepLines w:val="0"/>
        <w:pageBreakBefore w:val="0"/>
        <w:numPr>
          <w:ilvl w:val="0"/>
          <w:numId w:val="0"/>
        </w:numPr>
        <w:kinsoku/>
        <w:wordWrap/>
        <w:overflowPunct/>
        <w:topLinePunct w:val="0"/>
        <w:autoSpaceDE/>
        <w:autoSpaceDN/>
        <w:bidi w:val="0"/>
        <w:spacing w:line="560" w:lineRule="exact"/>
        <w:ind w:left="160" w:leftChars="0" w:firstLine="640" w:firstLineChars="200"/>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2.根据所持CA类别选择下载安装正确的CA驱动，切勿交叉安装;</w:t>
      </w:r>
    </w:p>
    <w:p>
      <w:pPr>
        <w:keepNext w:val="0"/>
        <w:keepLines w:val="0"/>
        <w:pageBreakBefore w:val="0"/>
        <w:numPr>
          <w:ilvl w:val="0"/>
          <w:numId w:val="0"/>
        </w:numPr>
        <w:kinsoku/>
        <w:wordWrap/>
        <w:overflowPunct/>
        <w:topLinePunct w:val="0"/>
        <w:autoSpaceDE/>
        <w:autoSpaceDN/>
        <w:bidi w:val="0"/>
        <w:spacing w:line="560" w:lineRule="exact"/>
        <w:ind w:left="160" w:leftChars="0" w:firstLine="640" w:firstLineChars="200"/>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3.CA登录必须使用IE9版本及以上的浏览器。</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宋体" w:hAnsi="宋体" w:eastAsia="宋体" w:cs="宋体"/>
          <w:b w:val="0"/>
          <w:i w:val="0"/>
          <w:caps w:val="0"/>
          <w:color w:val="333333"/>
          <w:spacing w:val="0"/>
          <w:kern w:val="44"/>
          <w:sz w:val="28"/>
          <w:szCs w:val="28"/>
          <w:lang w:val="en-US" w:eastAsia="zh-CN" w:bidi="ar"/>
        </w:rPr>
      </w:pPr>
      <w:r>
        <w:rPr>
          <w:rFonts w:hint="eastAsia" w:ascii="仿宋_GB2312" w:hAnsi="Calibri" w:eastAsia="仿宋_GB2312" w:cs="Times New Roman"/>
          <w:b w:val="0"/>
          <w:kern w:val="2"/>
          <w:sz w:val="32"/>
          <w:szCs w:val="32"/>
          <w:lang w:val="en-US" w:eastAsia="zh-CN" w:bidi="ar-SA"/>
        </w:rPr>
        <w:t>安装使用过程中如果遇到问题请及时与我中心联系,联系方式：0312-5610196，服务时间：8:30-11:30，13:30-17:00(工作日)。</w:t>
      </w: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p>
    <w:p>
      <w:pPr>
        <w:pStyle w:val="7"/>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0" w:firstLineChars="200"/>
        <w:jc w:val="both"/>
        <w:textAlignment w:val="auto"/>
        <w:rPr>
          <w:rFonts w:hint="eastAsia" w:ascii="仿宋_GB2312" w:hAnsi="Calibri" w:eastAsia="仿宋_GB2312" w:cs="Times New Roman"/>
          <w:b w:val="0"/>
          <w:kern w:val="2"/>
          <w:sz w:val="32"/>
          <w:szCs w:val="32"/>
          <w:lang w:val="en-US" w:eastAsia="zh-CN" w:bidi="ar-SA"/>
        </w:rPr>
      </w:pPr>
      <w:r>
        <w:rPr>
          <w:rFonts w:hint="eastAsia" w:ascii="仿宋_GB2312" w:hAnsi="Calibri" w:eastAsia="仿宋_GB2312" w:cs="Times New Roman"/>
          <w:b w:val="0"/>
          <w:kern w:val="2"/>
          <w:sz w:val="32"/>
          <w:szCs w:val="32"/>
          <w:lang w:val="en-US" w:eastAsia="zh-CN" w:bidi="ar-SA"/>
        </w:rPr>
        <w:t>附表1</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560"/>
        <w:jc w:val="center"/>
        <w:rPr>
          <w:rFonts w:hint="eastAsia" w:ascii="宋体" w:hAnsi="宋体" w:eastAsia="宋体" w:cs="宋体"/>
          <w:b/>
          <w:bCs/>
          <w:i w:val="0"/>
          <w:caps w:val="0"/>
          <w:color w:val="333333"/>
          <w:spacing w:val="0"/>
          <w:kern w:val="44"/>
          <w:sz w:val="28"/>
          <w:szCs w:val="28"/>
          <w:lang w:val="en-US" w:eastAsia="zh-CN" w:bidi="ar"/>
        </w:rPr>
      </w:pPr>
      <w:r>
        <w:rPr>
          <w:rFonts w:hint="eastAsia" w:ascii="宋体" w:hAnsi="宋体" w:eastAsia="宋体" w:cs="宋体"/>
          <w:b/>
          <w:bCs/>
          <w:i w:val="0"/>
          <w:caps w:val="0"/>
          <w:color w:val="333333"/>
          <w:spacing w:val="0"/>
          <w:kern w:val="44"/>
          <w:sz w:val="28"/>
          <w:szCs w:val="28"/>
          <w:lang w:val="en-US" w:eastAsia="zh-CN" w:bidi="ar"/>
        </w:rPr>
        <w:t>CA数字证书驱动程序对照表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pPr>
    </w:p>
    <w:tbl>
      <w:tblPr>
        <w:tblStyle w:val="9"/>
        <w:tblpPr w:leftFromText="180" w:rightFromText="180" w:vertAnchor="text" w:horzAnchor="page" w:tblpX="2278" w:tblpY="48"/>
        <w:tblOverlap w:val="never"/>
        <w:tblW w:w="7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296"/>
        <w:gridCol w:w="261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widowControl/>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序号</w:t>
            </w:r>
          </w:p>
        </w:tc>
        <w:tc>
          <w:tcPr>
            <w:tcW w:w="2296" w:type="dxa"/>
            <w:vAlign w:val="center"/>
          </w:tcPr>
          <w:p>
            <w:pPr>
              <w:widowControl/>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数字证书类型</w:t>
            </w:r>
          </w:p>
        </w:tc>
        <w:tc>
          <w:tcPr>
            <w:tcW w:w="2619" w:type="dxa"/>
            <w:vAlign w:val="center"/>
          </w:tcPr>
          <w:p>
            <w:pPr>
              <w:widowControl/>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数字证书示例</w:t>
            </w:r>
          </w:p>
        </w:tc>
        <w:tc>
          <w:tcPr>
            <w:tcW w:w="2087" w:type="dxa"/>
            <w:vAlign w:val="center"/>
          </w:tcPr>
          <w:p>
            <w:pPr>
              <w:widowControl/>
              <w:jc w:val="center"/>
              <w:rPr>
                <w:rFonts w:asciiTheme="minorEastAsia" w:hAnsiTheme="minorEastAsia" w:eastAsiaTheme="minorEastAsia" w:cstheme="minorEastAsia"/>
                <w:b/>
                <w:bCs/>
              </w:rPr>
            </w:pPr>
            <w:r>
              <w:rPr>
                <w:rFonts w:hint="eastAsia" w:asciiTheme="minorEastAsia" w:hAnsiTheme="minorEastAsia" w:eastAsiaTheme="minorEastAsia" w:cstheme="minorEastAsia"/>
                <w:b/>
                <w:bCs/>
              </w:rPr>
              <w:t>驱动下载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898"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1</w:t>
            </w:r>
          </w:p>
        </w:tc>
        <w:tc>
          <w:tcPr>
            <w:tcW w:w="2296"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sz w:val="22"/>
                <w:szCs w:val="18"/>
              </w:rPr>
              <w:t>雄安公共资源交易中心的BJCA数字证书</w:t>
            </w:r>
          </w:p>
        </w:tc>
        <w:tc>
          <w:tcPr>
            <w:tcW w:w="2619" w:type="dxa"/>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114300" distR="114300">
                  <wp:extent cx="1504315" cy="501650"/>
                  <wp:effectExtent l="0" t="0" r="6985" b="6350"/>
                  <wp:docPr id="11" name="图片 11" descr="1597116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597116829(1)"/>
                          <pic:cNvPicPr>
                            <a:picLocks noChangeAspect="1"/>
                          </pic:cNvPicPr>
                        </pic:nvPicPr>
                        <pic:blipFill>
                          <a:blip r:embed="rId5"/>
                          <a:stretch>
                            <a:fillRect/>
                          </a:stretch>
                        </pic:blipFill>
                        <pic:spPr>
                          <a:xfrm>
                            <a:off x="0" y="0"/>
                            <a:ext cx="1504315" cy="501650"/>
                          </a:xfrm>
                          <a:prstGeom prst="rect">
                            <a:avLst/>
                          </a:prstGeom>
                        </pic:spPr>
                      </pic:pic>
                    </a:graphicData>
                  </a:graphic>
                </wp:inline>
              </w:drawing>
            </w:r>
          </w:p>
        </w:tc>
        <w:tc>
          <w:tcPr>
            <w:tcW w:w="2087" w:type="dxa"/>
            <w:vAlign w:val="center"/>
          </w:tcPr>
          <w:p>
            <w:pPr>
              <w:widowControl/>
              <w:jc w:val="center"/>
              <w:rPr>
                <w:rFonts w:asciiTheme="minorEastAsia" w:hAnsiTheme="minorEastAsia" w:eastAsiaTheme="minorEastAsia" w:cstheme="minorEastAsia"/>
              </w:rPr>
            </w:pPr>
            <w:r>
              <w:rPr>
                <w:rFonts w:hint="eastAsia" w:asciiTheme="minorEastAsia" w:hAnsiTheme="minorEastAsia" w:cstheme="minorEastAsia"/>
                <w:lang w:val="en-US" w:eastAsia="zh-CN"/>
              </w:rPr>
              <w:t>雄安新区办理的CA锁驱动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2</w:t>
            </w:r>
          </w:p>
        </w:tc>
        <w:tc>
          <w:tcPr>
            <w:tcW w:w="2296" w:type="dxa"/>
            <w:vAlign w:val="center"/>
          </w:tcPr>
          <w:p>
            <w:pPr>
              <w:widowControl/>
              <w:jc w:val="center"/>
              <w:rPr>
                <w:rFonts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北京市工程建设交易信息的颐信数字证书</w:t>
            </w:r>
          </w:p>
        </w:tc>
        <w:tc>
          <w:tcPr>
            <w:tcW w:w="2619" w:type="dxa"/>
          </w:tcPr>
          <w:p>
            <w:pPr>
              <w:widowControl/>
              <w:rPr>
                <w:rFonts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1504950" cy="935990"/>
                  <wp:effectExtent l="0" t="0" r="6350" b="381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6"/>
                          <a:stretch>
                            <a:fillRect/>
                          </a:stretch>
                        </pic:blipFill>
                        <pic:spPr>
                          <a:xfrm>
                            <a:off x="0" y="0"/>
                            <a:ext cx="1504950" cy="935990"/>
                          </a:xfrm>
                          <a:prstGeom prst="rect">
                            <a:avLst/>
                          </a:prstGeom>
                        </pic:spPr>
                      </pic:pic>
                    </a:graphicData>
                  </a:graphic>
                </wp:inline>
              </w:drawing>
            </w:r>
          </w:p>
        </w:tc>
        <w:tc>
          <w:tcPr>
            <w:tcW w:w="2087" w:type="dxa"/>
            <w:vMerge w:val="restart"/>
            <w:vAlign w:val="center"/>
          </w:tcPr>
          <w:p>
            <w:pPr>
              <w:widowControl/>
              <w:jc w:val="center"/>
              <w:rPr>
                <w:rFonts w:asciiTheme="minorEastAsia" w:hAnsiTheme="minorEastAsia" w:eastAsiaTheme="minorEastAsia" w:cstheme="minorEastAsia"/>
              </w:rPr>
            </w:pPr>
            <w:r>
              <w:rPr>
                <w:rFonts w:hint="eastAsia" w:asciiTheme="minorEastAsia" w:hAnsiTheme="minorEastAsia" w:cstheme="minorEastAsia"/>
                <w:lang w:val="en-US" w:eastAsia="zh-CN"/>
              </w:rPr>
              <w:t>北京地区办理的CA锁驱动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8" w:type="dxa"/>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3</w:t>
            </w:r>
          </w:p>
        </w:tc>
        <w:tc>
          <w:tcPr>
            <w:tcW w:w="2296" w:type="dxa"/>
            <w:vAlign w:val="center"/>
          </w:tcPr>
          <w:p>
            <w:pPr>
              <w:widowControl/>
              <w:jc w:val="center"/>
              <w:rPr>
                <w:rFonts w:asciiTheme="minorEastAsia" w:hAnsiTheme="minorEastAsia" w:eastAsiaTheme="minorEastAsia" w:cstheme="minorEastAsia"/>
                <w:sz w:val="22"/>
                <w:szCs w:val="18"/>
              </w:rPr>
            </w:pPr>
            <w:r>
              <w:rPr>
                <w:rFonts w:hint="eastAsia" w:asciiTheme="minorEastAsia" w:hAnsiTheme="minorEastAsia" w:eastAsiaTheme="minorEastAsia" w:cstheme="minorEastAsia"/>
                <w:sz w:val="22"/>
                <w:szCs w:val="18"/>
              </w:rPr>
              <w:t>北京市工程建设交易信息的BJCA数字证书</w:t>
            </w:r>
          </w:p>
        </w:tc>
        <w:tc>
          <w:tcPr>
            <w:tcW w:w="2619" w:type="dxa"/>
          </w:tcPr>
          <w:p>
            <w:pPr>
              <w:widowControl/>
              <w:rPr>
                <w:rFonts w:asciiTheme="minorEastAsia" w:hAnsiTheme="minorEastAsia" w:eastAsiaTheme="minorEastAsia" w:cstheme="minorEastAsia"/>
              </w:rPr>
            </w:pPr>
            <w:r>
              <w:rPr>
                <w:rFonts w:hint="eastAsia" w:asciiTheme="minorEastAsia" w:hAnsiTheme="minorEastAsia" w:eastAsiaTheme="minorEastAsia" w:cstheme="minorEastAsia"/>
              </w:rPr>
              <w:drawing>
                <wp:inline distT="0" distB="0" distL="0" distR="0">
                  <wp:extent cx="1494790" cy="456565"/>
                  <wp:effectExtent l="0" t="0" r="3810" b="63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7"/>
                          <a:stretch>
                            <a:fillRect/>
                          </a:stretch>
                        </pic:blipFill>
                        <pic:spPr>
                          <a:xfrm>
                            <a:off x="0" y="0"/>
                            <a:ext cx="1495238" cy="457143"/>
                          </a:xfrm>
                          <a:prstGeom prst="rect">
                            <a:avLst/>
                          </a:prstGeom>
                        </pic:spPr>
                      </pic:pic>
                    </a:graphicData>
                  </a:graphic>
                </wp:inline>
              </w:drawing>
            </w:r>
          </w:p>
        </w:tc>
        <w:tc>
          <w:tcPr>
            <w:tcW w:w="2087" w:type="dxa"/>
            <w:vMerge w:val="continue"/>
            <w:vAlign w:val="center"/>
          </w:tcPr>
          <w:p>
            <w:pPr>
              <w:widowControl/>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98" w:type="dxa"/>
            <w:vMerge w:val="restart"/>
            <w:vAlign w:val="center"/>
          </w:tcPr>
          <w:p>
            <w:pPr>
              <w:widowControl/>
              <w:jc w:val="center"/>
              <w:rPr>
                <w:rFonts w:asciiTheme="minorEastAsia" w:hAnsiTheme="minorEastAsia" w:eastAsiaTheme="minorEastAsia" w:cstheme="minorEastAsia"/>
              </w:rPr>
            </w:pPr>
            <w:r>
              <w:rPr>
                <w:rFonts w:hint="eastAsia" w:asciiTheme="minorEastAsia" w:hAnsiTheme="minorEastAsia" w:cstheme="minorEastAsia"/>
              </w:rPr>
              <w:t>4</w:t>
            </w:r>
          </w:p>
        </w:tc>
        <w:tc>
          <w:tcPr>
            <w:tcW w:w="2296" w:type="dxa"/>
            <w:vMerge w:val="restart"/>
            <w:vAlign w:val="center"/>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t>河北省使用的数字证书</w:t>
            </w:r>
          </w:p>
        </w:tc>
        <w:tc>
          <w:tcPr>
            <w:tcW w:w="2619" w:type="dxa"/>
          </w:tcPr>
          <w:p>
            <w:pPr>
              <w:widowControl/>
              <w:rPr>
                <w:rFonts w:asciiTheme="minorEastAsia" w:hAnsiTheme="minorEastAsia" w:eastAsiaTheme="minorEastAsia" w:cstheme="minorEastAsia"/>
              </w:rPr>
            </w:pPr>
            <w:r>
              <w:rPr>
                <w:rFonts w:hint="eastAsia" w:asciiTheme="minorEastAsia" w:hAnsiTheme="minorEastAsia" w:eastAsiaTheme="minorEastAsia" w:cstheme="minorEastAsia"/>
              </w:rPr>
              <w:drawing>
                <wp:anchor distT="0" distB="0" distL="0" distR="0" simplePos="0" relativeHeight="251660288" behindDoc="0" locked="0" layoutInCell="1" allowOverlap="1">
                  <wp:simplePos x="0" y="0"/>
                  <wp:positionH relativeFrom="column">
                    <wp:posOffset>-19050</wp:posOffset>
                  </wp:positionH>
                  <wp:positionV relativeFrom="paragraph">
                    <wp:posOffset>169545</wp:posOffset>
                  </wp:positionV>
                  <wp:extent cx="1504315" cy="507365"/>
                  <wp:effectExtent l="0" t="0" r="6985" b="63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8"/>
                          <a:stretch>
                            <a:fillRect/>
                          </a:stretch>
                        </pic:blipFill>
                        <pic:spPr>
                          <a:xfrm flipV="1">
                            <a:off x="0" y="0"/>
                            <a:ext cx="1639636" cy="553013"/>
                          </a:xfrm>
                          <a:prstGeom prst="rect">
                            <a:avLst/>
                          </a:prstGeom>
                        </pic:spPr>
                      </pic:pic>
                    </a:graphicData>
                  </a:graphic>
                </wp:anchor>
              </w:drawing>
            </w:r>
          </w:p>
        </w:tc>
        <w:tc>
          <w:tcPr>
            <w:tcW w:w="2087" w:type="dxa"/>
            <w:vMerge w:val="restart"/>
            <w:vAlign w:val="center"/>
          </w:tcPr>
          <w:p>
            <w:pPr>
              <w:widowControl/>
              <w:jc w:val="center"/>
              <w:rPr>
                <w:rFonts w:hint="default" w:asciiTheme="minorEastAsia" w:hAnsiTheme="minorEastAsia" w:eastAsiaTheme="minorEastAsia" w:cstheme="minorEastAsia"/>
                <w:lang w:val="en-US" w:eastAsia="zh-CN"/>
              </w:rPr>
            </w:pPr>
            <w:r>
              <w:rPr>
                <w:rFonts w:hint="eastAsia" w:asciiTheme="minorEastAsia" w:hAnsiTheme="minorEastAsia" w:cstheme="minorEastAsia"/>
                <w:lang w:val="en-US" w:eastAsia="zh-CN"/>
              </w:rPr>
              <w:t>河北地区（除雄安新区外）办理的CA锁驱动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898" w:type="dxa"/>
            <w:vMerge w:val="continue"/>
            <w:vAlign w:val="center"/>
          </w:tcPr>
          <w:p>
            <w:pPr>
              <w:widowControl/>
              <w:jc w:val="center"/>
              <w:rPr>
                <w:rFonts w:eastAsiaTheme="minorEastAsia"/>
              </w:rPr>
            </w:pPr>
          </w:p>
        </w:tc>
        <w:tc>
          <w:tcPr>
            <w:tcW w:w="2296" w:type="dxa"/>
            <w:vMerge w:val="continue"/>
            <w:vAlign w:val="center"/>
          </w:tcPr>
          <w:p>
            <w:pPr>
              <w:widowControl/>
              <w:jc w:val="center"/>
              <w:rPr>
                <w:rFonts w:eastAsiaTheme="minorEastAsia"/>
              </w:rPr>
            </w:pPr>
          </w:p>
        </w:tc>
        <w:tc>
          <w:tcPr>
            <w:tcW w:w="2619" w:type="dxa"/>
          </w:tcPr>
          <w:p>
            <w:pPr>
              <w:widowControl/>
              <w:jc w:val="center"/>
            </w:pPr>
            <w:r>
              <w:rPr>
                <w:rFonts w:hint="eastAsia" w:asciiTheme="minorEastAsia" w:hAnsiTheme="minorEastAsia" w:eastAsiaTheme="minorEastAsia" w:cstheme="minorEastAsia"/>
              </w:rPr>
              <w:drawing>
                <wp:anchor distT="0" distB="0" distL="0" distR="0" simplePos="0" relativeHeight="251661312" behindDoc="0" locked="0" layoutInCell="1" allowOverlap="1">
                  <wp:simplePos x="0" y="0"/>
                  <wp:positionH relativeFrom="column">
                    <wp:posOffset>0</wp:posOffset>
                  </wp:positionH>
                  <wp:positionV relativeFrom="paragraph">
                    <wp:posOffset>144780</wp:posOffset>
                  </wp:positionV>
                  <wp:extent cx="1504315" cy="548005"/>
                  <wp:effectExtent l="0" t="0" r="6985" b="10795"/>
                  <wp:wrapSquare wrapText="bothSides"/>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9"/>
                          <a:stretch>
                            <a:fillRect/>
                          </a:stretch>
                        </pic:blipFill>
                        <pic:spPr>
                          <a:xfrm>
                            <a:off x="0" y="0"/>
                            <a:ext cx="1556186" cy="567164"/>
                          </a:xfrm>
                          <a:prstGeom prst="rect">
                            <a:avLst/>
                          </a:prstGeom>
                        </pic:spPr>
                      </pic:pic>
                    </a:graphicData>
                  </a:graphic>
                </wp:anchor>
              </w:drawing>
            </w:r>
          </w:p>
        </w:tc>
        <w:tc>
          <w:tcPr>
            <w:tcW w:w="2087" w:type="dxa"/>
            <w:vMerge w:val="continue"/>
            <w:vAlign w:val="center"/>
          </w:tcPr>
          <w:p>
            <w:pPr>
              <w:widowControl/>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898" w:type="dxa"/>
            <w:vMerge w:val="continue"/>
            <w:vAlign w:val="center"/>
          </w:tcPr>
          <w:p>
            <w:pPr>
              <w:widowControl/>
              <w:jc w:val="center"/>
              <w:rPr>
                <w:rFonts w:asciiTheme="minorEastAsia" w:hAnsiTheme="minorEastAsia" w:eastAsiaTheme="minorEastAsia" w:cstheme="minorEastAsia"/>
              </w:rPr>
            </w:pPr>
          </w:p>
        </w:tc>
        <w:tc>
          <w:tcPr>
            <w:tcW w:w="2296" w:type="dxa"/>
            <w:vMerge w:val="continue"/>
            <w:vAlign w:val="center"/>
          </w:tcPr>
          <w:p>
            <w:pPr>
              <w:widowControl/>
              <w:jc w:val="center"/>
              <w:rPr>
                <w:rFonts w:asciiTheme="minorEastAsia" w:hAnsiTheme="minorEastAsia" w:eastAsiaTheme="minorEastAsia" w:cstheme="minorEastAsia"/>
              </w:rPr>
            </w:pPr>
          </w:p>
        </w:tc>
        <w:tc>
          <w:tcPr>
            <w:tcW w:w="2619" w:type="dxa"/>
          </w:tcPr>
          <w:p>
            <w:pPr>
              <w:widowControl/>
              <w:jc w:val="center"/>
              <w:rPr>
                <w:rFonts w:asciiTheme="minorEastAsia" w:hAnsiTheme="minorEastAsia" w:eastAsiaTheme="minorEastAsia" w:cstheme="minorEastAsia"/>
              </w:rPr>
            </w:pPr>
            <w:r>
              <w:rPr>
                <w:rFonts w:hint="eastAsia" w:asciiTheme="minorEastAsia" w:hAnsiTheme="minorEastAsia" w:eastAsiaTheme="minorEastAsia" w:cstheme="minorEastAsia"/>
              </w:rPr>
              <w:drawing>
                <wp:anchor distT="0" distB="0" distL="0" distR="0" simplePos="0" relativeHeight="251659264" behindDoc="0" locked="0" layoutInCell="1" allowOverlap="1">
                  <wp:simplePos x="0" y="0"/>
                  <wp:positionH relativeFrom="column">
                    <wp:posOffset>-9525</wp:posOffset>
                  </wp:positionH>
                  <wp:positionV relativeFrom="paragraph">
                    <wp:posOffset>198755</wp:posOffset>
                  </wp:positionV>
                  <wp:extent cx="1504315" cy="516890"/>
                  <wp:effectExtent l="0" t="0" r="6985" b="3810"/>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0"/>
                          <a:stretch>
                            <a:fillRect/>
                          </a:stretch>
                        </pic:blipFill>
                        <pic:spPr>
                          <a:xfrm>
                            <a:off x="0" y="0"/>
                            <a:ext cx="1534006" cy="527130"/>
                          </a:xfrm>
                          <a:prstGeom prst="rect">
                            <a:avLst/>
                          </a:prstGeom>
                        </pic:spPr>
                      </pic:pic>
                    </a:graphicData>
                  </a:graphic>
                </wp:anchor>
              </w:drawing>
            </w:r>
          </w:p>
        </w:tc>
        <w:tc>
          <w:tcPr>
            <w:tcW w:w="2087" w:type="dxa"/>
            <w:vMerge w:val="continue"/>
            <w:vAlign w:val="center"/>
          </w:tcPr>
          <w:p>
            <w:pPr>
              <w:widowControl/>
              <w:jc w:val="center"/>
              <w:rPr>
                <w:rFonts w:asciiTheme="minorEastAsia" w:hAnsiTheme="minorEastAsia" w:eastAsiaTheme="minorEastAsia" w:cstheme="minor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898" w:type="dxa"/>
            <w:vMerge w:val="continue"/>
            <w:vAlign w:val="center"/>
          </w:tcPr>
          <w:p>
            <w:pPr>
              <w:widowControl/>
              <w:jc w:val="center"/>
              <w:rPr>
                <w:rFonts w:asciiTheme="minorEastAsia" w:hAnsiTheme="minorEastAsia" w:eastAsiaTheme="minorEastAsia" w:cstheme="minorEastAsia"/>
              </w:rPr>
            </w:pPr>
          </w:p>
        </w:tc>
        <w:tc>
          <w:tcPr>
            <w:tcW w:w="2296" w:type="dxa"/>
            <w:vMerge w:val="continue"/>
            <w:vAlign w:val="center"/>
          </w:tcPr>
          <w:p>
            <w:pPr>
              <w:widowControl/>
              <w:jc w:val="center"/>
              <w:rPr>
                <w:rFonts w:asciiTheme="minorEastAsia" w:hAnsiTheme="minorEastAsia" w:eastAsiaTheme="minorEastAsia" w:cstheme="minorEastAsia"/>
              </w:rPr>
            </w:pPr>
          </w:p>
        </w:tc>
        <w:tc>
          <w:tcPr>
            <w:tcW w:w="2619" w:type="dxa"/>
          </w:tcPr>
          <w:p>
            <w:pPr>
              <w:widowControl/>
              <w:jc w:val="center"/>
            </w:pPr>
            <w:r>
              <w:drawing>
                <wp:inline distT="0" distB="0" distL="114300" distR="114300">
                  <wp:extent cx="502285" cy="1445895"/>
                  <wp:effectExtent l="0" t="0" r="1905" b="5715"/>
                  <wp:docPr id="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pic:cNvPicPr>
                            <a:picLocks noChangeAspect="1"/>
                          </pic:cNvPicPr>
                        </pic:nvPicPr>
                        <pic:blipFill>
                          <a:blip r:embed="rId11"/>
                          <a:stretch>
                            <a:fillRect/>
                          </a:stretch>
                        </pic:blipFill>
                        <pic:spPr>
                          <a:xfrm rot="16200000">
                            <a:off x="0" y="0"/>
                            <a:ext cx="502285" cy="1445895"/>
                          </a:xfrm>
                          <a:prstGeom prst="rect">
                            <a:avLst/>
                          </a:prstGeom>
                          <a:noFill/>
                          <a:ln>
                            <a:noFill/>
                          </a:ln>
                        </pic:spPr>
                      </pic:pic>
                    </a:graphicData>
                  </a:graphic>
                </wp:inline>
              </w:drawing>
            </w:r>
          </w:p>
        </w:tc>
        <w:tc>
          <w:tcPr>
            <w:tcW w:w="2087" w:type="dxa"/>
            <w:vMerge w:val="continue"/>
            <w:vAlign w:val="center"/>
          </w:tcPr>
          <w:p>
            <w:pPr>
              <w:widowControl/>
              <w:jc w:val="center"/>
              <w:rPr>
                <w:rFonts w:asciiTheme="minorEastAsia" w:hAnsiTheme="minorEastAsia" w:eastAsiaTheme="minorEastAsia" w:cstheme="minorEastAsia"/>
              </w:rPr>
            </w:pPr>
          </w:p>
        </w:tc>
      </w:tr>
    </w:tbl>
    <w:p>
      <w:bookmarkStart w:id="0" w:name="_GoBack"/>
    </w:p>
    <w:bookmarkEnd w:id="0"/>
    <w:p/>
    <w:p>
      <w:pPr>
        <w:pStyle w:val="2"/>
      </w:pPr>
    </w:p>
    <w:p>
      <w:pPr>
        <w:pStyle w:val="3"/>
      </w:pPr>
    </w:p>
    <w:p/>
    <w:p>
      <w:pPr>
        <w:pStyle w:val="2"/>
      </w:pPr>
    </w:p>
    <w:p>
      <w:pPr>
        <w:pStyle w:val="3"/>
      </w:pPr>
    </w:p>
    <w:p/>
    <w:p>
      <w:pPr>
        <w:pStyle w:val="2"/>
      </w:pPr>
    </w:p>
    <w:p>
      <w:pPr>
        <w:pStyle w:val="3"/>
        <w:ind w:left="0" w:leftChars="0" w:firstLine="0" w:firstLineChars="0"/>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F4E49"/>
    <w:rsid w:val="083327DB"/>
    <w:rsid w:val="0EC95FCB"/>
    <w:rsid w:val="1AE479A2"/>
    <w:rsid w:val="28E51E0C"/>
    <w:rsid w:val="2FB356F4"/>
    <w:rsid w:val="46C04EAF"/>
    <w:rsid w:val="6109503A"/>
    <w:rsid w:val="67CA322D"/>
    <w:rsid w:val="71397275"/>
    <w:rsid w:val="74B72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eastAsia="宋体" w:cs="宋体"/>
      <w:szCs w:val="24"/>
    </w:rPr>
  </w:style>
  <w:style w:type="paragraph" w:styleId="3">
    <w:name w:val="index 9"/>
    <w:basedOn w:val="1"/>
    <w:next w:val="1"/>
    <w:qFormat/>
    <w:uiPriority w:val="0"/>
    <w:pPr>
      <w:ind w:left="3360"/>
    </w:pPr>
    <w:rPr>
      <w:rFonts w:ascii="Times New Roman" w:hAnsi="Times New Roman" w:eastAsia="宋体" w:cs="等线"/>
      <w:szCs w:val="21"/>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2021-11-26T07:08:00Z</dcterms:created>
  <dc:creator>Administrator</dc:creator>
  <cp:lastModifiedBy>梦然~</cp:lastModifiedBy>
  <cp:lastPrinted>2021-12-03T02:43:00Z</cp:lastPrinted>
  <dcterms:modified xsi:type="dcterms:W3CDTF">2021-12-24T08:24:59Z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9AD0BD98A2FC469A88DAE22812D65A46</vt:lpwstr>
  </property>
</Properties>
</file>