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CA互认绑定和最新版驱动下载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right="0"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为贯彻落实《国务院办公厅转发国家发展改革委关于深化公共资源交易平台整合共享指导意见的通知》（国办函〔2019〕41号）要求，</w:t>
      </w:r>
      <w:r>
        <w:rPr>
          <w:rFonts w:hint="eastAsia" w:ascii="仿宋_GB2312" w:hAnsi="Calibri" w:eastAsia="仿宋_GB2312" w:cs="Times New Roman"/>
          <w:b w:val="0"/>
          <w:kern w:val="2"/>
          <w:sz w:val="32"/>
          <w:szCs w:val="32"/>
          <w:lang w:val="en-US" w:eastAsia="zh-CN" w:bidi="ar-SA"/>
        </w:rPr>
        <w:t>实现北京地区、河北地区</w:t>
      </w:r>
      <w:r>
        <w:rPr>
          <w:rFonts w:hint="default" w:ascii="仿宋_GB2312" w:hAnsi="Calibri" w:eastAsia="仿宋_GB2312" w:cs="Times New Roman"/>
          <w:b w:val="0"/>
          <w:kern w:val="2"/>
          <w:sz w:val="32"/>
          <w:szCs w:val="32"/>
          <w:lang w:val="en-US" w:eastAsia="zh-CN" w:bidi="ar-SA"/>
        </w:rPr>
        <w:t>CA</w:t>
      </w:r>
      <w:r>
        <w:rPr>
          <w:rFonts w:hint="eastAsia" w:ascii="仿宋_GB2312" w:hAnsi="Calibri" w:eastAsia="仿宋_GB2312" w:cs="Times New Roman"/>
          <w:b w:val="0"/>
          <w:kern w:val="2"/>
          <w:sz w:val="32"/>
          <w:szCs w:val="32"/>
          <w:lang w:val="en-US" w:eastAsia="zh-CN" w:bidi="ar-SA"/>
        </w:rPr>
        <w:t>与雄安新区公共资源交易服务平台互认,各市场主体应根据自身情况，尽快选择合适的方式进行认证:</w:t>
      </w:r>
      <w:bookmarkStart w:id="0" w:name="_GoBack"/>
      <w:bookmarkEnd w:id="0"/>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1.雄安新区的CA用户，需在雄安新区公共资源交易服务平台门户网站的下载中心下载</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，卸载掉之前电脑上安装的驱动后，重新安装</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驱动,即可正常使用CA锁登录系统。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left"/>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北京地区和河北地区的CA用户，需携带该地区的CA锁来雄安新区公共资源交易中心A13窗口现场办理CA互认绑定业务或通过邮寄方式办理，办理CA互认绑定业务之前必须在雄安新区公共资源交易服务平台进行市场主体注册(市场主体注册操作手册http://www.xaprtc.com/xzzxwd/905.jhtml?token=88afc5ed6db642a1a913eb6d38b5dd16)，绑定业务办理完成后,用户按照《CA数字证书驱动程序对照表》（附表1）,在雄安新区公共资源交易服务平台门户网站的下载中心下载</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，卸载掉之前电脑上安装的驱动后，在电脑上重新安装相应的</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驱动，即可正常使用CA锁登录系统。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both"/>
        <w:textAlignment w:val="auto"/>
        <w:rPr>
          <w:rFonts w:hint="default"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3.通过邮寄方式办理CA互认绑定业务，邮寄地址:河北省保定市容城县市民服务中心内政务服务中心A13窗口 郭女士 0312-5671238,只接收顺丰快递,请在快递中预留寄回地址。同时将公司名称、CA锁类型、邮寄的快递单号、寄回地址、联系人信息以邮件方式发送至xaxqggzy@163.com,邮件以“XX公司（CA互认）”命名，工作人员办理完成CA互认绑定业务后，将CA通过顺丰快递寄回,运费到付，同时将邮回的快递单号发送至各用户邮箱，以便查询。</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安装使用过程需要注意以下几点:</w:t>
      </w:r>
      <w:r>
        <w:rPr>
          <w:rFonts w:hint="eastAsia" w:ascii="仿宋_GB2312" w:hAnsi="Calibri" w:eastAsia="仿宋_GB2312" w:cs="Times New Roman"/>
          <w:b w:val="0"/>
          <w:kern w:val="2"/>
          <w:sz w:val="32"/>
          <w:szCs w:val="32"/>
          <w:lang w:val="en-US" w:eastAsia="zh-CN" w:bidi="ar-SA"/>
        </w:rPr>
        <w:br w:type="textWrapping"/>
      </w:r>
      <w:r>
        <w:rPr>
          <w:rFonts w:hint="eastAsia" w:ascii="仿宋_GB2312" w:hAnsi="Calibri" w:eastAsia="仿宋_GB2312" w:cs="Times New Roman"/>
          <w:b w:val="0"/>
          <w:kern w:val="2"/>
          <w:sz w:val="32"/>
          <w:szCs w:val="32"/>
          <w:lang w:val="en-US" w:eastAsia="zh-CN" w:bidi="ar-SA"/>
        </w:rPr>
        <w:t xml:space="preserve">     1.必须将电脑上之前安装的CA驱动卸载干净才能安装新驱动;</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2.根据所持CA类别选择下载安装正确的CA驱动，切勿交叉安装;</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3.CA登录必须使用ie9版本及以上的浏览器。</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i w:val="0"/>
          <w:caps w:val="0"/>
          <w:color w:val="333333"/>
          <w:spacing w:val="0"/>
          <w:kern w:val="44"/>
          <w:sz w:val="28"/>
          <w:szCs w:val="28"/>
          <w:lang w:val="en-US" w:eastAsia="zh-CN" w:bidi="ar"/>
        </w:rPr>
      </w:pPr>
      <w:r>
        <w:rPr>
          <w:rFonts w:hint="eastAsia" w:ascii="仿宋_GB2312" w:hAnsi="Calibri" w:eastAsia="仿宋_GB2312" w:cs="Times New Roman"/>
          <w:b w:val="0"/>
          <w:kern w:val="2"/>
          <w:sz w:val="32"/>
          <w:szCs w:val="32"/>
          <w:lang w:val="en-US" w:eastAsia="zh-CN" w:bidi="ar-SA"/>
        </w:rPr>
        <w:t>安装使用过程中如果遇到问题请及时与我中心联系,联系方式：0312-5671261，工作时间：8:30-12:00，13:30-17:00(工作日)。</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附表1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center"/>
        <w:rPr>
          <w:rFonts w:hint="eastAsia" w:ascii="宋体" w:hAnsi="宋体" w:eastAsia="宋体" w:cs="宋体"/>
          <w:b/>
          <w:bCs/>
          <w:i w:val="0"/>
          <w:caps w:val="0"/>
          <w:color w:val="333333"/>
          <w:spacing w:val="0"/>
          <w:kern w:val="44"/>
          <w:sz w:val="28"/>
          <w:szCs w:val="28"/>
          <w:lang w:val="en-US" w:eastAsia="zh-CN" w:bidi="ar"/>
        </w:rPr>
      </w:pPr>
      <w:r>
        <w:rPr>
          <w:rFonts w:hint="eastAsia" w:ascii="宋体" w:hAnsi="宋体" w:eastAsia="宋体" w:cs="宋体"/>
          <w:b/>
          <w:bCs/>
          <w:i w:val="0"/>
          <w:caps w:val="0"/>
          <w:color w:val="333333"/>
          <w:spacing w:val="0"/>
          <w:kern w:val="44"/>
          <w:sz w:val="28"/>
          <w:szCs w:val="28"/>
          <w:lang w:val="en-US" w:eastAsia="zh-CN" w:bidi="ar"/>
        </w:rPr>
        <w:t>CA数字证书驱动程序对照表</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768"/>
        <w:gridCol w:w="258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68"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数字证书类型</w:t>
            </w:r>
          </w:p>
        </w:tc>
        <w:tc>
          <w:tcPr>
            <w:tcW w:w="2586"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数字证书示例</w:t>
            </w:r>
          </w:p>
        </w:tc>
        <w:tc>
          <w:tcPr>
            <w:tcW w:w="1891" w:type="dxa"/>
            <w:vAlign w:val="center"/>
          </w:tcPr>
          <w:p>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驱动下载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雄安公共资源交易中心的</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BJCA数字证书</w:t>
            </w:r>
          </w:p>
        </w:tc>
        <w:tc>
          <w:tcPr>
            <w:tcW w:w="2586" w:type="dxa"/>
          </w:tcPr>
          <w:p>
            <w:pPr>
              <w:widowControl/>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1504315" cy="501650"/>
                  <wp:effectExtent l="0" t="0" r="635" b="12700"/>
                  <wp:docPr id="3" name="图片 3" descr="1597116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7116829(1)"/>
                          <pic:cNvPicPr>
                            <a:picLocks noChangeAspect="1"/>
                          </pic:cNvPicPr>
                        </pic:nvPicPr>
                        <pic:blipFill>
                          <a:blip r:embed="rId5"/>
                          <a:stretch>
                            <a:fillRect/>
                          </a:stretch>
                        </pic:blipFill>
                        <pic:spPr>
                          <a:xfrm>
                            <a:off x="0" y="0"/>
                            <a:ext cx="1504315" cy="501650"/>
                          </a:xfrm>
                          <a:prstGeom prst="rect">
                            <a:avLst/>
                          </a:prstGeom>
                        </pic:spPr>
                      </pic:pic>
                    </a:graphicData>
                  </a:graphic>
                </wp:inline>
              </w:drawing>
            </w:r>
          </w:p>
        </w:tc>
        <w:tc>
          <w:tcPr>
            <w:tcW w:w="1891" w:type="dxa"/>
            <w:vMerge w:val="restart"/>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北京CA驱动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北京市工程建设交易信息</w:t>
            </w:r>
          </w:p>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的颐信数字证书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504950" cy="935990"/>
                  <wp:effectExtent l="0" t="0" r="0"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1504950" cy="935990"/>
                          </a:xfrm>
                          <a:prstGeom prst="rect">
                            <a:avLst/>
                          </a:prstGeom>
                        </pic:spPr>
                      </pic:pic>
                    </a:graphicData>
                  </a:graphic>
                </wp:inline>
              </w:drawing>
            </w:r>
          </w:p>
        </w:tc>
        <w:tc>
          <w:tcPr>
            <w:tcW w:w="1891" w:type="dxa"/>
            <w:vMerge w:val="continue"/>
            <w:vAlign w:val="center"/>
          </w:tcPr>
          <w:p>
            <w:pPr>
              <w:widowControl/>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北京市工程建设交易信息</w:t>
            </w:r>
          </w:p>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的BJCA数字证书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494790" cy="4565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495238" cy="457143"/>
                          </a:xfrm>
                          <a:prstGeom prst="rect">
                            <a:avLst/>
                          </a:prstGeom>
                        </pic:spPr>
                      </pic:pic>
                    </a:graphicData>
                  </a:graphic>
                </wp:inline>
              </w:drawing>
            </w:r>
          </w:p>
        </w:tc>
        <w:tc>
          <w:tcPr>
            <w:tcW w:w="1891" w:type="dxa"/>
            <w:vMerge w:val="continue"/>
            <w:vAlign w:val="center"/>
          </w:tcPr>
          <w:p>
            <w:pPr>
              <w:widowControl/>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05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768"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河北省使用的数字证书</w:t>
            </w:r>
          </w:p>
        </w:tc>
        <w:tc>
          <w:tcPr>
            <w:tcW w:w="2586" w:type="dxa"/>
          </w:tcPr>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504315" cy="507365"/>
                  <wp:effectExtent l="0" t="0" r="63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flipV="1">
                            <a:off x="0" y="0"/>
                            <a:ext cx="1639636" cy="553013"/>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48005"/>
                  <wp:effectExtent l="0" t="0" r="63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556186" cy="567164"/>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16890"/>
                  <wp:effectExtent l="0" t="0" r="63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534006" cy="527130"/>
                          </a:xfrm>
                          <a:prstGeom prst="rect">
                            <a:avLst/>
                          </a:prstGeom>
                        </pic:spPr>
                      </pic:pic>
                    </a:graphicData>
                  </a:graphic>
                </wp:inline>
              </w:drawing>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drawing>
                <wp:inline distT="0" distB="0" distL="0" distR="0">
                  <wp:extent cx="1504315" cy="519430"/>
                  <wp:effectExtent l="0" t="0" r="63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509606" cy="521500"/>
                          </a:xfrm>
                          <a:prstGeom prst="rect">
                            <a:avLst/>
                          </a:prstGeom>
                        </pic:spPr>
                      </pic:pic>
                    </a:graphicData>
                  </a:graphic>
                </wp:inline>
              </w:drawing>
            </w:r>
          </w:p>
        </w:tc>
        <w:tc>
          <w:tcPr>
            <w:tcW w:w="1891" w:type="dxa"/>
            <w:vAlign w:val="center"/>
          </w:tcPr>
          <w:p>
            <w:pPr>
              <w:widowControl/>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河北CA驱动</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74"/>
    <w:rsid w:val="00282236"/>
    <w:rsid w:val="00341C75"/>
    <w:rsid w:val="0074002B"/>
    <w:rsid w:val="00817220"/>
    <w:rsid w:val="00913FDF"/>
    <w:rsid w:val="00963A74"/>
    <w:rsid w:val="00A70958"/>
    <w:rsid w:val="00D62565"/>
    <w:rsid w:val="03C37D7E"/>
    <w:rsid w:val="05700176"/>
    <w:rsid w:val="0E3B2A45"/>
    <w:rsid w:val="0FD0472C"/>
    <w:rsid w:val="15D825A1"/>
    <w:rsid w:val="17987DC1"/>
    <w:rsid w:val="1AE1182D"/>
    <w:rsid w:val="2E2B371D"/>
    <w:rsid w:val="31EA72CE"/>
    <w:rsid w:val="3EF84023"/>
    <w:rsid w:val="465919F4"/>
    <w:rsid w:val="466E47CD"/>
    <w:rsid w:val="48A85B71"/>
    <w:rsid w:val="524D7EF7"/>
    <w:rsid w:val="5A7A315B"/>
    <w:rsid w:val="63634545"/>
    <w:rsid w:val="65303A21"/>
    <w:rsid w:val="7BBE34F5"/>
    <w:rsid w:val="7D9D4FD4"/>
    <w:rsid w:val="7FB97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宋体"/>
      <w:szCs w:val="24"/>
    </w:rPr>
  </w:style>
  <w:style w:type="paragraph" w:styleId="3">
    <w:name w:val="index 9"/>
    <w:basedOn w:val="1"/>
    <w:next w:val="1"/>
    <w:qFormat/>
    <w:uiPriority w:val="0"/>
    <w:pPr>
      <w:ind w:left="3360"/>
    </w:pPr>
    <w:rPr>
      <w:rFonts w:ascii="Times New Roman" w:hAnsi="Times New Roman" w:eastAsia="宋体" w:cs="等线"/>
      <w:szCs w:val="21"/>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style>
  <w:style w:type="character" w:styleId="13">
    <w:name w:val="FollowedHyperlink"/>
    <w:basedOn w:val="11"/>
    <w:semiHidden/>
    <w:unhideWhenUsed/>
    <w:qFormat/>
    <w:uiPriority w:val="99"/>
    <w:rPr>
      <w:color w:val="555555"/>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ascii="monospace" w:hAnsi="monospace" w:eastAsia="monospace" w:cs="monospace"/>
      <w:sz w:val="20"/>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color w:val="555555"/>
      <w:u w:val="none"/>
    </w:rPr>
  </w:style>
  <w:style w:type="character" w:styleId="20">
    <w:name w:val="HTML Code"/>
    <w:basedOn w:val="11"/>
    <w:semiHidden/>
    <w:unhideWhenUsed/>
    <w:qFormat/>
    <w:uiPriority w:val="99"/>
    <w:rPr>
      <w:rFonts w:ascii="Courier New" w:hAnsi="Courier New"/>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hint="default" w:ascii="monospace" w:hAnsi="monospace" w:eastAsia="monospace" w:cs="monospace"/>
    </w:rPr>
  </w:style>
  <w:style w:type="character" w:customStyle="1" w:styleId="24">
    <w:name w:val="first-child"/>
    <w:basedOn w:val="11"/>
    <w:qFormat/>
    <w:uiPriority w:val="0"/>
    <w:rPr>
      <w:color w:val="147BE3"/>
      <w:sz w:val="27"/>
      <w:szCs w:val="27"/>
    </w:rPr>
  </w:style>
  <w:style w:type="character" w:customStyle="1" w:styleId="25">
    <w:name w:val="first-child1"/>
    <w:basedOn w:val="11"/>
    <w:qFormat/>
    <w:uiPriority w:val="0"/>
    <w:rPr>
      <w:color w:val="FFFFFF"/>
    </w:rPr>
  </w:style>
  <w:style w:type="character" w:customStyle="1" w:styleId="26">
    <w:name w:val="nth-of-type(2)"/>
    <w:basedOn w:val="11"/>
    <w:qFormat/>
    <w:uiPriority w:val="0"/>
    <w:rPr>
      <w:color w:val="AAAAAA"/>
    </w:rPr>
  </w:style>
  <w:style w:type="character" w:customStyle="1" w:styleId="27">
    <w:name w:val="reltitle2"/>
    <w:basedOn w:val="11"/>
    <w:qFormat/>
    <w:uiPriority w:val="0"/>
    <w:rPr>
      <w:sz w:val="39"/>
      <w:szCs w:val="39"/>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74</Words>
  <Characters>427</Characters>
  <Lines>3</Lines>
  <Paragraphs>1</Paragraphs>
  <TotalTime>1</TotalTime>
  <ScaleCrop>false</ScaleCrop>
  <LinksUpToDate>false</LinksUpToDate>
  <CharactersWithSpaces>500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2020-02-12T01:57:00Z</dcterms:created>
  <dc:creator>陈汝斌(10024008)</dc:creator>
  <cp:lastModifiedBy>心若向阳</cp:lastModifiedBy>
  <cp:lastPrinted>2020-02-21T03:17:00Z</cp:lastPrinted>
  <dcterms:modified xsi:type="dcterms:W3CDTF">2020-08-11T06:33:41Z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